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E38AA8" w14:textId="6B6E8C2B" w:rsidR="00420DFC" w:rsidRPr="003542F3" w:rsidRDefault="00367948" w:rsidP="00230F15">
      <w:pPr>
        <w:tabs>
          <w:tab w:val="left" w:pos="9214"/>
        </w:tabs>
        <w:spacing w:line="240" w:lineRule="auto"/>
        <w:jc w:val="center"/>
        <w:rPr>
          <w:rFonts w:ascii="Arial" w:hAnsi="Arial" w:cs="Arial"/>
          <w:b/>
          <w:bCs/>
          <w:sz w:val="24"/>
          <w:szCs w:val="20"/>
          <w:u w:val="single"/>
        </w:rPr>
      </w:pPr>
      <w:r>
        <w:rPr>
          <w:rFonts w:ascii="Arial" w:hAnsi="Arial" w:cs="Arial"/>
          <w:b/>
          <w:bCs/>
          <w:sz w:val="24"/>
          <w:szCs w:val="20"/>
          <w:u w:val="single"/>
        </w:rPr>
        <w:t>P</w:t>
      </w:r>
      <w:bookmarkStart w:id="0" w:name="_GoBack"/>
      <w:bookmarkEnd w:id="0"/>
      <w:r w:rsidR="004000C9" w:rsidRPr="003542F3">
        <w:rPr>
          <w:rFonts w:ascii="Arial" w:hAnsi="Arial" w:cs="Arial"/>
          <w:b/>
          <w:bCs/>
          <w:sz w:val="24"/>
          <w:szCs w:val="20"/>
          <w:u w:val="single"/>
        </w:rPr>
        <w:t>RESCRIBED SAMPLE SIZE</w:t>
      </w:r>
    </w:p>
    <w:p w14:paraId="17603168" w14:textId="77777777" w:rsidR="003542F3" w:rsidRPr="003542F3" w:rsidRDefault="003542F3">
      <w:pPr>
        <w:rPr>
          <w:rFonts w:ascii="Arial" w:hAnsi="Arial" w:cs="Arial"/>
          <w:b/>
          <w:bCs/>
          <w:sz w:val="20"/>
          <w:szCs w:val="20"/>
        </w:rPr>
      </w:pPr>
    </w:p>
    <w:tbl>
      <w:tblPr>
        <w:tblW w:w="6141" w:type="pct"/>
        <w:tblInd w:w="-998" w:type="dxa"/>
        <w:tblLook w:val="04A0" w:firstRow="1" w:lastRow="0" w:firstColumn="1" w:lastColumn="0" w:noHBand="0" w:noVBand="1"/>
      </w:tblPr>
      <w:tblGrid>
        <w:gridCol w:w="729"/>
        <w:gridCol w:w="3862"/>
        <w:gridCol w:w="1525"/>
        <w:gridCol w:w="1585"/>
        <w:gridCol w:w="3783"/>
      </w:tblGrid>
      <w:tr w:rsidR="003542F3" w:rsidRPr="003542F3" w14:paraId="19DA3CB1" w14:textId="77777777" w:rsidTr="00C04549">
        <w:trPr>
          <w:trHeight w:val="520"/>
        </w:trPr>
        <w:tc>
          <w:tcPr>
            <w:tcW w:w="31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327251" w14:textId="77777777" w:rsidR="003542F3" w:rsidRPr="003542F3" w:rsidRDefault="003542F3" w:rsidP="003542F3">
            <w:pPr>
              <w:spacing w:after="0" w:line="240" w:lineRule="auto"/>
              <w:rPr>
                <w:rFonts w:ascii="Arial" w:eastAsia="Times New Roman" w:hAnsi="Arial" w:cs="Arial"/>
                <w:b/>
                <w:bCs/>
                <w:color w:val="000000"/>
                <w:szCs w:val="20"/>
                <w:lang w:val="en-IN" w:eastAsia="en-IN"/>
              </w:rPr>
            </w:pPr>
            <w:r w:rsidRPr="003542F3">
              <w:rPr>
                <w:rFonts w:ascii="Arial" w:eastAsia="Times New Roman" w:hAnsi="Arial" w:cs="Arial"/>
                <w:b/>
                <w:bCs/>
                <w:color w:val="000000"/>
                <w:szCs w:val="20"/>
                <w:lang w:eastAsia="en-IN"/>
              </w:rPr>
              <w:t>ID</w:t>
            </w:r>
          </w:p>
        </w:tc>
        <w:tc>
          <w:tcPr>
            <w:tcW w:w="1681" w:type="pct"/>
            <w:tcBorders>
              <w:top w:val="single" w:sz="4" w:space="0" w:color="auto"/>
              <w:left w:val="nil"/>
              <w:bottom w:val="single" w:sz="4" w:space="0" w:color="auto"/>
              <w:right w:val="single" w:sz="4" w:space="0" w:color="auto"/>
            </w:tcBorders>
            <w:shd w:val="clear" w:color="auto" w:fill="auto"/>
            <w:vAlign w:val="center"/>
            <w:hideMark/>
          </w:tcPr>
          <w:p w14:paraId="6F583F67" w14:textId="77777777" w:rsidR="003542F3" w:rsidRPr="003542F3" w:rsidRDefault="003542F3" w:rsidP="003542F3">
            <w:pPr>
              <w:spacing w:after="0" w:line="240" w:lineRule="auto"/>
              <w:rPr>
                <w:rFonts w:ascii="Arial" w:eastAsia="Times New Roman" w:hAnsi="Arial" w:cs="Arial"/>
                <w:b/>
                <w:bCs/>
                <w:color w:val="000000"/>
                <w:szCs w:val="20"/>
                <w:lang w:val="en-IN" w:eastAsia="en-IN"/>
              </w:rPr>
            </w:pPr>
            <w:r w:rsidRPr="003542F3">
              <w:rPr>
                <w:rFonts w:ascii="Arial" w:eastAsia="Times New Roman" w:hAnsi="Arial" w:cs="Arial"/>
                <w:b/>
                <w:bCs/>
                <w:color w:val="000000"/>
                <w:szCs w:val="20"/>
                <w:lang w:eastAsia="en-IN"/>
              </w:rPr>
              <w:t>Area of Verification</w:t>
            </w:r>
          </w:p>
        </w:tc>
        <w:tc>
          <w:tcPr>
            <w:tcW w:w="664" w:type="pct"/>
            <w:tcBorders>
              <w:top w:val="single" w:sz="4" w:space="0" w:color="auto"/>
              <w:left w:val="nil"/>
              <w:bottom w:val="single" w:sz="4" w:space="0" w:color="auto"/>
              <w:right w:val="single" w:sz="4" w:space="0" w:color="auto"/>
            </w:tcBorders>
            <w:shd w:val="clear" w:color="auto" w:fill="auto"/>
            <w:vAlign w:val="center"/>
            <w:hideMark/>
          </w:tcPr>
          <w:p w14:paraId="2785322E" w14:textId="77777777" w:rsidR="003542F3" w:rsidRPr="003542F3" w:rsidRDefault="003542F3" w:rsidP="003542F3">
            <w:pPr>
              <w:spacing w:after="0" w:line="240" w:lineRule="auto"/>
              <w:rPr>
                <w:rFonts w:ascii="Arial" w:eastAsia="Times New Roman" w:hAnsi="Arial" w:cs="Arial"/>
                <w:b/>
                <w:bCs/>
                <w:color w:val="000000"/>
                <w:szCs w:val="20"/>
                <w:lang w:val="en-IN" w:eastAsia="en-IN"/>
              </w:rPr>
            </w:pPr>
            <w:r w:rsidRPr="003542F3">
              <w:rPr>
                <w:rFonts w:ascii="Arial" w:eastAsia="Times New Roman" w:hAnsi="Arial" w:cs="Arial"/>
                <w:b/>
                <w:bCs/>
                <w:color w:val="000000"/>
                <w:szCs w:val="20"/>
                <w:lang w:eastAsia="en-IN"/>
              </w:rPr>
              <w:t>Applicability</w:t>
            </w:r>
          </w:p>
        </w:tc>
        <w:tc>
          <w:tcPr>
            <w:tcW w:w="690" w:type="pct"/>
            <w:tcBorders>
              <w:top w:val="single" w:sz="4" w:space="0" w:color="auto"/>
              <w:left w:val="nil"/>
              <w:bottom w:val="single" w:sz="4" w:space="0" w:color="auto"/>
              <w:right w:val="single" w:sz="4" w:space="0" w:color="auto"/>
            </w:tcBorders>
            <w:shd w:val="clear" w:color="auto" w:fill="auto"/>
            <w:vAlign w:val="center"/>
            <w:hideMark/>
          </w:tcPr>
          <w:p w14:paraId="3BE2C795" w14:textId="77777777" w:rsidR="003542F3" w:rsidRPr="003542F3" w:rsidRDefault="003542F3" w:rsidP="003542F3">
            <w:pPr>
              <w:spacing w:after="0" w:line="240" w:lineRule="auto"/>
              <w:rPr>
                <w:rFonts w:ascii="Arial" w:eastAsia="Times New Roman" w:hAnsi="Arial" w:cs="Arial"/>
                <w:b/>
                <w:bCs/>
                <w:color w:val="000000"/>
                <w:szCs w:val="20"/>
                <w:lang w:val="en-IN" w:eastAsia="en-IN"/>
              </w:rPr>
            </w:pPr>
            <w:r w:rsidRPr="003542F3">
              <w:rPr>
                <w:rFonts w:ascii="Arial" w:eastAsia="Times New Roman" w:hAnsi="Arial" w:cs="Arial"/>
                <w:b/>
                <w:bCs/>
                <w:color w:val="000000"/>
                <w:szCs w:val="20"/>
                <w:lang w:eastAsia="en-IN"/>
              </w:rPr>
              <w:t>Indicative Sample Size</w:t>
            </w:r>
          </w:p>
        </w:tc>
        <w:tc>
          <w:tcPr>
            <w:tcW w:w="1647" w:type="pct"/>
            <w:tcBorders>
              <w:top w:val="single" w:sz="4" w:space="0" w:color="auto"/>
              <w:left w:val="nil"/>
              <w:bottom w:val="single" w:sz="4" w:space="0" w:color="auto"/>
              <w:right w:val="single" w:sz="4" w:space="0" w:color="auto"/>
            </w:tcBorders>
            <w:shd w:val="clear" w:color="auto" w:fill="auto"/>
            <w:vAlign w:val="center"/>
            <w:hideMark/>
          </w:tcPr>
          <w:p w14:paraId="060F73CD" w14:textId="77777777" w:rsidR="003542F3" w:rsidRPr="003542F3" w:rsidRDefault="003542F3" w:rsidP="003542F3">
            <w:pPr>
              <w:spacing w:after="0" w:line="240" w:lineRule="auto"/>
              <w:rPr>
                <w:rFonts w:ascii="Arial" w:eastAsia="Times New Roman" w:hAnsi="Arial" w:cs="Arial"/>
                <w:b/>
                <w:bCs/>
                <w:color w:val="000000"/>
                <w:szCs w:val="20"/>
                <w:lang w:val="en-IN" w:eastAsia="en-IN"/>
              </w:rPr>
            </w:pPr>
            <w:r w:rsidRPr="003542F3">
              <w:rPr>
                <w:rFonts w:ascii="Arial" w:eastAsia="Times New Roman" w:hAnsi="Arial" w:cs="Arial"/>
                <w:b/>
                <w:bCs/>
                <w:color w:val="000000"/>
                <w:szCs w:val="20"/>
                <w:lang w:eastAsia="en-IN"/>
              </w:rPr>
              <w:t>Methodology for Sample selection</w:t>
            </w:r>
          </w:p>
        </w:tc>
      </w:tr>
      <w:tr w:rsidR="003542F3" w:rsidRPr="003542F3" w14:paraId="74DCD9D5"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4571523" w14:textId="64296A11"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w:t>
            </w:r>
          </w:p>
        </w:tc>
        <w:tc>
          <w:tcPr>
            <w:tcW w:w="1681" w:type="pct"/>
            <w:tcBorders>
              <w:top w:val="nil"/>
              <w:left w:val="nil"/>
              <w:bottom w:val="single" w:sz="4" w:space="0" w:color="auto"/>
              <w:right w:val="single" w:sz="4" w:space="0" w:color="auto"/>
            </w:tcBorders>
            <w:shd w:val="clear" w:color="auto" w:fill="auto"/>
            <w:vAlign w:val="center"/>
            <w:hideMark/>
          </w:tcPr>
          <w:p w14:paraId="7BD2BA73"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MARGINS</w:t>
            </w:r>
          </w:p>
        </w:tc>
        <w:tc>
          <w:tcPr>
            <w:tcW w:w="664" w:type="pct"/>
            <w:tcBorders>
              <w:top w:val="nil"/>
              <w:left w:val="nil"/>
              <w:bottom w:val="single" w:sz="4" w:space="0" w:color="auto"/>
              <w:right w:val="single" w:sz="4" w:space="0" w:color="auto"/>
            </w:tcBorders>
            <w:shd w:val="clear" w:color="auto" w:fill="auto"/>
            <w:vAlign w:val="center"/>
            <w:hideMark/>
          </w:tcPr>
          <w:p w14:paraId="5E47CCB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03850A3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21E54D8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61A527BF" w14:textId="77777777" w:rsidTr="00C04549">
        <w:trPr>
          <w:trHeight w:val="2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79DC8B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w:t>
            </w:r>
          </w:p>
        </w:tc>
        <w:tc>
          <w:tcPr>
            <w:tcW w:w="1681" w:type="pct"/>
            <w:tcBorders>
              <w:top w:val="nil"/>
              <w:left w:val="nil"/>
              <w:bottom w:val="single" w:sz="4" w:space="0" w:color="auto"/>
              <w:right w:val="single" w:sz="4" w:space="0" w:color="auto"/>
            </w:tcBorders>
            <w:shd w:val="clear" w:color="auto" w:fill="auto"/>
            <w:vAlign w:val="center"/>
            <w:hideMark/>
          </w:tcPr>
          <w:p w14:paraId="5B2B37B4" w14:textId="68DDB3F9" w:rsidR="003542F3" w:rsidRPr="003542F3" w:rsidRDefault="003542F3" w:rsidP="00491404">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The clearing member had collected appropriate and adequate margins (EOD margins and peak margins) in prescribed forms.</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2404D8F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9038C9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48362E9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Dates (one date in each month of the Audit period) with highest margin requirement (combined across all segments).</w:t>
            </w:r>
            <w:r w:rsidRPr="003542F3">
              <w:rPr>
                <w:rFonts w:ascii="Arial" w:eastAsia="Times New Roman" w:hAnsi="Arial" w:cs="Arial"/>
                <w:sz w:val="20"/>
                <w:szCs w:val="20"/>
                <w:lang w:val="en-IN" w:eastAsia="en-IN"/>
              </w:rPr>
              <w:br/>
              <w:t>Margin verification shall be done for the sample.</w:t>
            </w:r>
            <w:r w:rsidRPr="003542F3">
              <w:rPr>
                <w:rFonts w:ascii="Arial" w:eastAsia="Times New Roman" w:hAnsi="Arial" w:cs="Arial"/>
                <w:sz w:val="20"/>
                <w:szCs w:val="20"/>
                <w:lang w:val="en-IN" w:eastAsia="en-IN"/>
              </w:rPr>
              <w:br/>
              <w:t>For Cash- Ledger balance may be verified.</w:t>
            </w:r>
            <w:r w:rsidRPr="003542F3">
              <w:rPr>
                <w:rFonts w:ascii="Arial" w:eastAsia="Times New Roman" w:hAnsi="Arial" w:cs="Arial"/>
                <w:sz w:val="20"/>
                <w:szCs w:val="20"/>
                <w:lang w:val="en-IN" w:eastAsia="en-IN"/>
              </w:rPr>
              <w:br/>
              <w:t>For BG and FD- verify the supporting.</w:t>
            </w:r>
            <w:r w:rsidRPr="003542F3">
              <w:rPr>
                <w:rFonts w:ascii="Arial" w:eastAsia="Times New Roman" w:hAnsi="Arial" w:cs="Arial"/>
                <w:sz w:val="20"/>
                <w:szCs w:val="20"/>
                <w:lang w:val="en-IN" w:eastAsia="en-IN"/>
              </w:rPr>
              <w:br/>
              <w:t>For securities- verify with Sec pledge file.</w:t>
            </w:r>
            <w:r w:rsidRPr="003542F3">
              <w:rPr>
                <w:rFonts w:ascii="Arial" w:eastAsia="Times New Roman" w:hAnsi="Arial" w:cs="Arial"/>
                <w:sz w:val="20"/>
                <w:szCs w:val="20"/>
                <w:lang w:val="en-IN" w:eastAsia="en-IN"/>
              </w:rPr>
              <w:br/>
              <w:t>Further, within the ledger for bank receipt entries (verify with bank statements).</w:t>
            </w:r>
          </w:p>
        </w:tc>
      </w:tr>
      <w:tr w:rsidR="003542F3" w:rsidRPr="003542F3" w14:paraId="527A52EE" w14:textId="77777777" w:rsidTr="00C04549">
        <w:trPr>
          <w:trHeight w:val="1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7F2B7A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w:t>
            </w:r>
          </w:p>
        </w:tc>
        <w:tc>
          <w:tcPr>
            <w:tcW w:w="1681" w:type="pct"/>
            <w:tcBorders>
              <w:top w:val="nil"/>
              <w:left w:val="nil"/>
              <w:bottom w:val="single" w:sz="4" w:space="0" w:color="auto"/>
              <w:right w:val="single" w:sz="4" w:space="0" w:color="auto"/>
            </w:tcBorders>
            <w:shd w:val="clear" w:color="auto" w:fill="auto"/>
            <w:vAlign w:val="center"/>
            <w:hideMark/>
          </w:tcPr>
          <w:p w14:paraId="7054F3C0" w14:textId="756EC9D4" w:rsidR="00491404" w:rsidRDefault="003542F3" w:rsidP="00491404">
            <w:pPr>
              <w:spacing w:after="0" w:line="240" w:lineRule="auto"/>
              <w:jc w:val="both"/>
              <w:rPr>
                <w:rFonts w:ascii="Arial" w:eastAsia="Times New Roman" w:hAnsi="Arial" w:cs="Arial"/>
                <w:color w:val="000000"/>
                <w:sz w:val="20"/>
                <w:szCs w:val="20"/>
                <w:lang w:eastAsia="en-IN"/>
              </w:rPr>
            </w:pPr>
            <w:r w:rsidRPr="003542F3">
              <w:rPr>
                <w:rFonts w:ascii="Arial" w:eastAsia="Times New Roman" w:hAnsi="Arial" w:cs="Arial"/>
                <w:color w:val="000000"/>
                <w:sz w:val="20"/>
                <w:szCs w:val="20"/>
                <w:lang w:eastAsia="en-IN"/>
              </w:rPr>
              <w:t>Margin collection reported to Clearing Corporation is in accordance with margins actually collected</w:t>
            </w:r>
            <w:r w:rsidR="00491404">
              <w:rPr>
                <w:rFonts w:ascii="Arial" w:eastAsia="Times New Roman" w:hAnsi="Arial" w:cs="Arial"/>
                <w:color w:val="000000"/>
                <w:sz w:val="20"/>
                <w:szCs w:val="20"/>
                <w:lang w:eastAsia="en-IN"/>
              </w:rPr>
              <w:t>.</w:t>
            </w:r>
            <w:r w:rsidRPr="003542F3">
              <w:rPr>
                <w:rFonts w:ascii="Arial" w:eastAsia="Times New Roman" w:hAnsi="Arial" w:cs="Arial"/>
                <w:color w:val="000000"/>
                <w:sz w:val="20"/>
                <w:szCs w:val="20"/>
                <w:lang w:eastAsia="en-IN"/>
              </w:rPr>
              <w:t xml:space="preserve"> </w:t>
            </w:r>
          </w:p>
          <w:p w14:paraId="557B953F" w14:textId="5BC0038C" w:rsidR="003542F3" w:rsidRPr="003542F3" w:rsidRDefault="003542F3" w:rsidP="00491404">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01197219"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83AE54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16799CA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Dates (one date in each month of the Audit period) with highest margin requirement (combined across all segments).</w:t>
            </w:r>
            <w:r w:rsidRPr="003542F3">
              <w:rPr>
                <w:rFonts w:ascii="Arial" w:eastAsia="Times New Roman" w:hAnsi="Arial" w:cs="Arial"/>
                <w:sz w:val="20"/>
                <w:szCs w:val="20"/>
                <w:lang w:val="en-IN" w:eastAsia="en-IN"/>
              </w:rPr>
              <w:br/>
              <w:t>Margin verification shall be done for the sample.</w:t>
            </w:r>
            <w:r w:rsidRPr="003542F3">
              <w:rPr>
                <w:rFonts w:ascii="Arial" w:eastAsia="Times New Roman" w:hAnsi="Arial" w:cs="Arial"/>
                <w:sz w:val="20"/>
                <w:szCs w:val="20"/>
                <w:lang w:val="en-IN" w:eastAsia="en-IN"/>
              </w:rPr>
              <w:br/>
              <w:t xml:space="preserve">For BG and FD- verify the supporting. </w:t>
            </w:r>
            <w:r w:rsidRPr="003542F3">
              <w:rPr>
                <w:rFonts w:ascii="Arial" w:eastAsia="Times New Roman" w:hAnsi="Arial" w:cs="Arial"/>
                <w:sz w:val="20"/>
                <w:szCs w:val="20"/>
                <w:lang w:val="en-IN" w:eastAsia="en-IN"/>
              </w:rPr>
              <w:br/>
              <w:t>For securities- verify with Sec pledge file.</w:t>
            </w:r>
            <w:r w:rsidRPr="003542F3">
              <w:rPr>
                <w:rFonts w:ascii="Arial" w:eastAsia="Times New Roman" w:hAnsi="Arial" w:cs="Arial"/>
                <w:sz w:val="20"/>
                <w:szCs w:val="20"/>
                <w:lang w:val="en-IN" w:eastAsia="en-IN"/>
              </w:rPr>
              <w:br/>
              <w:t>Further, within the ledger for bank receipt entries (verify with bank statements).</w:t>
            </w:r>
          </w:p>
        </w:tc>
      </w:tr>
      <w:tr w:rsidR="003542F3" w:rsidRPr="003542F3" w14:paraId="0BA7644E"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9CC6621" w14:textId="17174C3F"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B.</w:t>
            </w:r>
          </w:p>
        </w:tc>
        <w:tc>
          <w:tcPr>
            <w:tcW w:w="1681" w:type="pct"/>
            <w:tcBorders>
              <w:top w:val="nil"/>
              <w:left w:val="nil"/>
              <w:bottom w:val="single" w:sz="4" w:space="0" w:color="auto"/>
              <w:right w:val="single" w:sz="4" w:space="0" w:color="auto"/>
            </w:tcBorders>
            <w:shd w:val="clear" w:color="auto" w:fill="auto"/>
            <w:vAlign w:val="center"/>
            <w:hideMark/>
          </w:tcPr>
          <w:p w14:paraId="7176C884"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DEALING WITH CLIENT’S FUNDS AND SECURITIES AND COMMODITIES</w:t>
            </w:r>
          </w:p>
        </w:tc>
        <w:tc>
          <w:tcPr>
            <w:tcW w:w="664" w:type="pct"/>
            <w:tcBorders>
              <w:top w:val="nil"/>
              <w:left w:val="nil"/>
              <w:bottom w:val="single" w:sz="4" w:space="0" w:color="auto"/>
              <w:right w:val="single" w:sz="4" w:space="0" w:color="auto"/>
            </w:tcBorders>
            <w:shd w:val="clear" w:color="auto" w:fill="auto"/>
            <w:vAlign w:val="center"/>
            <w:hideMark/>
          </w:tcPr>
          <w:p w14:paraId="74F7698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52998BA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678F9DD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1D1E211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2FBFA8F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w:t>
            </w:r>
          </w:p>
        </w:tc>
        <w:tc>
          <w:tcPr>
            <w:tcW w:w="1681" w:type="pct"/>
            <w:tcBorders>
              <w:top w:val="nil"/>
              <w:left w:val="nil"/>
              <w:bottom w:val="single" w:sz="4" w:space="0" w:color="auto"/>
              <w:right w:val="single" w:sz="4" w:space="0" w:color="auto"/>
            </w:tcBorders>
            <w:shd w:val="clear" w:color="auto" w:fill="auto"/>
            <w:vAlign w:val="center"/>
            <w:hideMark/>
          </w:tcPr>
          <w:p w14:paraId="66C251D7" w14:textId="77777777" w:rsidR="003542F3" w:rsidRPr="003542F3" w:rsidRDefault="003542F3" w:rsidP="003542F3">
            <w:pPr>
              <w:spacing w:after="0" w:line="240" w:lineRule="auto"/>
              <w:rPr>
                <w:rFonts w:ascii="Arial" w:eastAsia="Times New Roman" w:hAnsi="Arial" w:cs="Arial"/>
                <w:sz w:val="20"/>
                <w:szCs w:val="20"/>
                <w:lang w:val="en-IN" w:eastAsia="en-IN"/>
              </w:rPr>
            </w:pPr>
            <w:r w:rsidRPr="003542F3">
              <w:rPr>
                <w:rFonts w:ascii="Arial" w:eastAsia="Times New Roman" w:hAnsi="Arial" w:cs="Arial"/>
                <w:sz w:val="20"/>
                <w:szCs w:val="20"/>
                <w:lang w:eastAsia="en-IN"/>
              </w:rPr>
              <w:t xml:space="preserve">Client (TM/CP) funds and securities &amp; commodities are segregated from own funds and securities &amp; commodities </w:t>
            </w:r>
          </w:p>
        </w:tc>
        <w:tc>
          <w:tcPr>
            <w:tcW w:w="664" w:type="pct"/>
            <w:tcBorders>
              <w:top w:val="nil"/>
              <w:left w:val="nil"/>
              <w:bottom w:val="single" w:sz="4" w:space="0" w:color="auto"/>
              <w:right w:val="single" w:sz="4" w:space="0" w:color="auto"/>
            </w:tcBorders>
            <w:shd w:val="clear" w:color="auto" w:fill="auto"/>
            <w:hideMark/>
          </w:tcPr>
          <w:p w14:paraId="47CA88D6"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FF04A8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0677C74"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Verify client bank and own bank accounts.</w:t>
            </w:r>
            <w:r w:rsidRPr="003542F3">
              <w:rPr>
                <w:rFonts w:ascii="Arial" w:eastAsia="Times New Roman" w:hAnsi="Arial" w:cs="Arial"/>
                <w:color w:val="000000"/>
                <w:sz w:val="20"/>
                <w:szCs w:val="20"/>
                <w:lang w:eastAsia="en-IN"/>
              </w:rPr>
              <w:br/>
              <w:t>Verify client collateral and own beneficiary accounts</w:t>
            </w:r>
          </w:p>
        </w:tc>
      </w:tr>
      <w:tr w:rsidR="003542F3" w:rsidRPr="003542F3" w14:paraId="793AF670"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27E85CF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w:t>
            </w:r>
          </w:p>
        </w:tc>
        <w:tc>
          <w:tcPr>
            <w:tcW w:w="1681" w:type="pct"/>
            <w:tcBorders>
              <w:top w:val="nil"/>
              <w:left w:val="nil"/>
              <w:bottom w:val="single" w:sz="4" w:space="0" w:color="auto"/>
              <w:right w:val="single" w:sz="4" w:space="0" w:color="auto"/>
            </w:tcBorders>
            <w:shd w:val="clear" w:color="auto" w:fill="auto"/>
            <w:vAlign w:val="center"/>
            <w:hideMark/>
          </w:tcPr>
          <w:p w14:paraId="1843C115"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No Cash dealings with TM/CP</w:t>
            </w:r>
          </w:p>
        </w:tc>
        <w:tc>
          <w:tcPr>
            <w:tcW w:w="664" w:type="pct"/>
            <w:tcBorders>
              <w:top w:val="nil"/>
              <w:left w:val="nil"/>
              <w:bottom w:val="single" w:sz="4" w:space="0" w:color="auto"/>
              <w:right w:val="single" w:sz="4" w:space="0" w:color="auto"/>
            </w:tcBorders>
            <w:shd w:val="clear" w:color="auto" w:fill="auto"/>
            <w:hideMark/>
          </w:tcPr>
          <w:p w14:paraId="7A53096F"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E9DDA1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68C56ED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Cash book maintained by the Member to be verified</w:t>
            </w:r>
          </w:p>
        </w:tc>
      </w:tr>
      <w:tr w:rsidR="003542F3" w:rsidRPr="003542F3" w14:paraId="7F5151D4"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60D24F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w:t>
            </w:r>
          </w:p>
        </w:tc>
        <w:tc>
          <w:tcPr>
            <w:tcW w:w="1681" w:type="pct"/>
            <w:tcBorders>
              <w:top w:val="nil"/>
              <w:left w:val="nil"/>
              <w:bottom w:val="single" w:sz="4" w:space="0" w:color="auto"/>
              <w:right w:val="single" w:sz="4" w:space="0" w:color="auto"/>
            </w:tcBorders>
            <w:shd w:val="clear" w:color="auto" w:fill="auto"/>
            <w:vAlign w:val="center"/>
            <w:hideMark/>
          </w:tcPr>
          <w:p w14:paraId="214F0DF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not pledged clients’ securities to the Banks/NBFCs for raising funds, even with authorization by client as the same would amount to fund based activity which is in contravention of Rule 8(1)(f) &amp; 8(3)(f) of Securities Contracts (Regulation) Rules, 1957</w:t>
            </w:r>
          </w:p>
        </w:tc>
        <w:tc>
          <w:tcPr>
            <w:tcW w:w="664" w:type="pct"/>
            <w:tcBorders>
              <w:top w:val="nil"/>
              <w:left w:val="nil"/>
              <w:bottom w:val="single" w:sz="4" w:space="0" w:color="auto"/>
              <w:right w:val="single" w:sz="4" w:space="0" w:color="auto"/>
            </w:tcBorders>
            <w:shd w:val="clear" w:color="auto" w:fill="auto"/>
            <w:hideMark/>
          </w:tcPr>
          <w:p w14:paraId="70D6889A"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714362A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12D3B86"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 Ascertain if any client securities are pledged from any of the demat accounts of the clearing member</w:t>
            </w:r>
            <w:r w:rsidRPr="003542F3">
              <w:rPr>
                <w:rFonts w:ascii="Arial" w:eastAsia="Times New Roman" w:hAnsi="Arial" w:cs="Arial"/>
                <w:color w:val="000000"/>
                <w:sz w:val="20"/>
                <w:szCs w:val="20"/>
                <w:lang w:eastAsia="en-IN"/>
              </w:rPr>
              <w:br/>
              <w:t>2. Ascertain the ownership of securities pledged as Proprietary securities of the clearing member</w:t>
            </w:r>
          </w:p>
        </w:tc>
      </w:tr>
      <w:tr w:rsidR="003542F3" w:rsidRPr="003542F3" w14:paraId="58C32114"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DBD1D2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w:t>
            </w:r>
          </w:p>
        </w:tc>
        <w:tc>
          <w:tcPr>
            <w:tcW w:w="1681" w:type="pct"/>
            <w:tcBorders>
              <w:top w:val="nil"/>
              <w:left w:val="nil"/>
              <w:bottom w:val="single" w:sz="4" w:space="0" w:color="auto"/>
              <w:right w:val="single" w:sz="4" w:space="0" w:color="auto"/>
            </w:tcBorders>
            <w:shd w:val="clear" w:color="auto" w:fill="auto"/>
            <w:vAlign w:val="center"/>
            <w:hideMark/>
          </w:tcPr>
          <w:p w14:paraId="0B14A48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not engaged in any activity involving any personal financial liability, other than of securities or commodities derivative or which is connected to or incidental to or consequential upon securities/commodities business</w:t>
            </w:r>
          </w:p>
        </w:tc>
        <w:tc>
          <w:tcPr>
            <w:tcW w:w="664" w:type="pct"/>
            <w:tcBorders>
              <w:top w:val="nil"/>
              <w:left w:val="nil"/>
              <w:bottom w:val="single" w:sz="4" w:space="0" w:color="auto"/>
              <w:right w:val="single" w:sz="4" w:space="0" w:color="auto"/>
            </w:tcBorders>
            <w:shd w:val="clear" w:color="auto" w:fill="auto"/>
            <w:hideMark/>
          </w:tcPr>
          <w:p w14:paraId="31F7D76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C0EA15F" w14:textId="1D635D69"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r w:rsidR="00F70920"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8517A07" w14:textId="6FB34ABA"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r w:rsidR="00F70920">
              <w:rPr>
                <w:rFonts w:ascii="Arial" w:eastAsia="Times New Roman" w:hAnsi="Arial" w:cs="Arial"/>
                <w:color w:val="000000"/>
                <w:sz w:val="20"/>
                <w:szCs w:val="20"/>
                <w:lang w:eastAsia="en-IN"/>
              </w:rPr>
              <w:t>-</w:t>
            </w:r>
          </w:p>
        </w:tc>
      </w:tr>
      <w:tr w:rsidR="003542F3" w:rsidRPr="003542F3" w14:paraId="5167B9C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0D8E17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7</w:t>
            </w:r>
          </w:p>
        </w:tc>
        <w:tc>
          <w:tcPr>
            <w:tcW w:w="1681" w:type="pct"/>
            <w:tcBorders>
              <w:top w:val="nil"/>
              <w:left w:val="nil"/>
              <w:bottom w:val="single" w:sz="4" w:space="0" w:color="auto"/>
              <w:right w:val="single" w:sz="4" w:space="0" w:color="auto"/>
            </w:tcBorders>
            <w:shd w:val="clear" w:color="auto" w:fill="auto"/>
            <w:vAlign w:val="center"/>
            <w:hideMark/>
          </w:tcPr>
          <w:p w14:paraId="2B4F87D3"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member has availed loan facility based on Client Bank Account/Upstreaming Account</w:t>
            </w:r>
          </w:p>
        </w:tc>
        <w:tc>
          <w:tcPr>
            <w:tcW w:w="664" w:type="pct"/>
            <w:tcBorders>
              <w:top w:val="nil"/>
              <w:left w:val="nil"/>
              <w:bottom w:val="single" w:sz="4" w:space="0" w:color="auto"/>
              <w:right w:val="single" w:sz="4" w:space="0" w:color="auto"/>
            </w:tcBorders>
            <w:shd w:val="clear" w:color="auto" w:fill="auto"/>
            <w:hideMark/>
          </w:tcPr>
          <w:p w14:paraId="251A7675"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33F20F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7DFD7D4"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504A9AC1"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34F0F5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8</w:t>
            </w:r>
          </w:p>
        </w:tc>
        <w:tc>
          <w:tcPr>
            <w:tcW w:w="1681" w:type="pct"/>
            <w:tcBorders>
              <w:top w:val="nil"/>
              <w:left w:val="nil"/>
              <w:bottom w:val="single" w:sz="4" w:space="0" w:color="auto"/>
              <w:right w:val="single" w:sz="4" w:space="0" w:color="auto"/>
            </w:tcBorders>
            <w:shd w:val="clear" w:color="auto" w:fill="auto"/>
            <w:vAlign w:val="center"/>
            <w:hideMark/>
          </w:tcPr>
          <w:p w14:paraId="5B0D373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Record of Monies borrowed or loaned including monies received .</w:t>
            </w:r>
          </w:p>
        </w:tc>
        <w:tc>
          <w:tcPr>
            <w:tcW w:w="664" w:type="pct"/>
            <w:tcBorders>
              <w:top w:val="nil"/>
              <w:left w:val="nil"/>
              <w:bottom w:val="single" w:sz="4" w:space="0" w:color="auto"/>
              <w:right w:val="single" w:sz="4" w:space="0" w:color="auto"/>
            </w:tcBorders>
            <w:shd w:val="clear" w:color="auto" w:fill="auto"/>
            <w:hideMark/>
          </w:tcPr>
          <w:p w14:paraId="250CA11C"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708D7E5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F35DC1F"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Check if loan/ICDs given to associates/subsidiaries.</w:t>
            </w:r>
            <w:r w:rsidRPr="003542F3">
              <w:rPr>
                <w:rFonts w:ascii="Arial" w:eastAsia="Times New Roman" w:hAnsi="Arial" w:cs="Arial"/>
                <w:color w:val="000000"/>
                <w:sz w:val="20"/>
                <w:szCs w:val="20"/>
                <w:lang w:eastAsia="en-IN"/>
              </w:rPr>
              <w:br/>
              <w:t>Whether the same have been deducted while computing half yearly net worth.</w:t>
            </w:r>
          </w:p>
        </w:tc>
      </w:tr>
      <w:tr w:rsidR="003542F3" w:rsidRPr="003542F3" w14:paraId="66924300"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91FC3F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9</w:t>
            </w:r>
          </w:p>
        </w:tc>
        <w:tc>
          <w:tcPr>
            <w:tcW w:w="1681" w:type="pct"/>
            <w:tcBorders>
              <w:top w:val="nil"/>
              <w:left w:val="nil"/>
              <w:bottom w:val="single" w:sz="4" w:space="0" w:color="auto"/>
              <w:right w:val="single" w:sz="4" w:space="0" w:color="auto"/>
            </w:tcBorders>
            <w:shd w:val="clear" w:color="auto" w:fill="auto"/>
            <w:vAlign w:val="center"/>
            <w:hideMark/>
          </w:tcPr>
          <w:p w14:paraId="32ACC89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Statement of accounts has been sent to trading member/ custodial participants.</w:t>
            </w:r>
          </w:p>
        </w:tc>
        <w:tc>
          <w:tcPr>
            <w:tcW w:w="664" w:type="pct"/>
            <w:tcBorders>
              <w:top w:val="nil"/>
              <w:left w:val="nil"/>
              <w:bottom w:val="single" w:sz="4" w:space="0" w:color="auto"/>
              <w:right w:val="single" w:sz="4" w:space="0" w:color="auto"/>
            </w:tcBorders>
            <w:shd w:val="clear" w:color="auto" w:fill="auto"/>
            <w:hideMark/>
          </w:tcPr>
          <w:p w14:paraId="29994DF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795093C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34343F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Verify the statement of accounts sent to all TMs</w:t>
            </w:r>
          </w:p>
        </w:tc>
      </w:tr>
      <w:tr w:rsidR="003542F3" w:rsidRPr="003542F3" w14:paraId="6572B867"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42137A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10</w:t>
            </w:r>
          </w:p>
        </w:tc>
        <w:tc>
          <w:tcPr>
            <w:tcW w:w="1681" w:type="pct"/>
            <w:tcBorders>
              <w:top w:val="nil"/>
              <w:left w:val="nil"/>
              <w:bottom w:val="single" w:sz="4" w:space="0" w:color="auto"/>
              <w:right w:val="single" w:sz="4" w:space="0" w:color="auto"/>
            </w:tcBorders>
            <w:shd w:val="clear" w:color="auto" w:fill="auto"/>
            <w:vAlign w:val="center"/>
            <w:hideMark/>
          </w:tcPr>
          <w:p w14:paraId="59610E0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Daily Margin statement is issued to the respective clients with the details as specified and Proof of delivery / dispatch/ log for dispatch is maintained.</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7B6344B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2A50AA4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73A03DE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 xml:space="preserve">Dates (one date in each month of the Audit period) with highest margin requirement (combined across all segments) </w:t>
            </w:r>
          </w:p>
        </w:tc>
      </w:tr>
      <w:tr w:rsidR="003542F3" w:rsidRPr="003542F3" w14:paraId="508EE270"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D19355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11</w:t>
            </w:r>
          </w:p>
        </w:tc>
        <w:tc>
          <w:tcPr>
            <w:tcW w:w="1681" w:type="pct"/>
            <w:tcBorders>
              <w:top w:val="nil"/>
              <w:left w:val="nil"/>
              <w:bottom w:val="single" w:sz="4" w:space="0" w:color="auto"/>
              <w:right w:val="single" w:sz="4" w:space="0" w:color="auto"/>
            </w:tcBorders>
            <w:shd w:val="clear" w:color="auto" w:fill="auto"/>
            <w:vAlign w:val="center"/>
            <w:hideMark/>
          </w:tcPr>
          <w:p w14:paraId="4B200FFD"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there was any delay in issuing the DMS?</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28123E8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5EF627F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24684E4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 xml:space="preserve">Dates (one date in each month of the Audit period) with highest margin requirement (combined across all segments) </w:t>
            </w:r>
          </w:p>
        </w:tc>
      </w:tr>
      <w:tr w:rsidR="003542F3" w:rsidRPr="003542F3" w14:paraId="4B1021DE"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491BFD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12</w:t>
            </w:r>
          </w:p>
        </w:tc>
        <w:tc>
          <w:tcPr>
            <w:tcW w:w="1681" w:type="pct"/>
            <w:tcBorders>
              <w:top w:val="nil"/>
              <w:left w:val="nil"/>
              <w:bottom w:val="single" w:sz="4" w:space="0" w:color="auto"/>
              <w:right w:val="single" w:sz="4" w:space="0" w:color="auto"/>
            </w:tcBorders>
            <w:shd w:val="clear" w:color="auto" w:fill="auto"/>
            <w:vAlign w:val="center"/>
            <w:hideMark/>
          </w:tcPr>
          <w:p w14:paraId="3678D306"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In case of any transfer of funds between client account &amp; proprietary account for legitimate purposes, member has maintained a daily reconciliation statement clearly indicating the details of funds transferred. </w:t>
            </w:r>
          </w:p>
        </w:tc>
        <w:tc>
          <w:tcPr>
            <w:tcW w:w="664" w:type="pct"/>
            <w:tcBorders>
              <w:top w:val="nil"/>
              <w:left w:val="nil"/>
              <w:bottom w:val="single" w:sz="4" w:space="0" w:color="auto"/>
              <w:right w:val="single" w:sz="4" w:space="0" w:color="auto"/>
            </w:tcBorders>
            <w:shd w:val="clear" w:color="auto" w:fill="auto"/>
            <w:hideMark/>
          </w:tcPr>
          <w:p w14:paraId="5444710F"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0B22B2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E2E8E26"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Verification of transfer/JV entries between client accounts and proprietary accounts.</w:t>
            </w:r>
          </w:p>
        </w:tc>
      </w:tr>
      <w:tr w:rsidR="003542F3" w:rsidRPr="003542F3" w14:paraId="03B3A1E7"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4F0283A" w14:textId="12E5AB84"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w:t>
            </w:r>
          </w:p>
        </w:tc>
        <w:tc>
          <w:tcPr>
            <w:tcW w:w="1681" w:type="pct"/>
            <w:tcBorders>
              <w:top w:val="nil"/>
              <w:left w:val="nil"/>
              <w:bottom w:val="single" w:sz="4" w:space="0" w:color="auto"/>
              <w:right w:val="single" w:sz="4" w:space="0" w:color="auto"/>
            </w:tcBorders>
            <w:shd w:val="clear" w:color="auto" w:fill="auto"/>
            <w:vAlign w:val="center"/>
            <w:hideMark/>
          </w:tcPr>
          <w:p w14:paraId="4C440619"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MAINTENANCE OF BOOKS OF ACCOUNTS</w:t>
            </w:r>
          </w:p>
        </w:tc>
        <w:tc>
          <w:tcPr>
            <w:tcW w:w="664" w:type="pct"/>
            <w:tcBorders>
              <w:top w:val="nil"/>
              <w:left w:val="nil"/>
              <w:bottom w:val="single" w:sz="4" w:space="0" w:color="auto"/>
              <w:right w:val="single" w:sz="4" w:space="0" w:color="auto"/>
            </w:tcBorders>
            <w:shd w:val="clear" w:color="auto" w:fill="auto"/>
            <w:vAlign w:val="center"/>
            <w:hideMark/>
          </w:tcPr>
          <w:p w14:paraId="68AABC6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790BAF8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50590F7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57A28382"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D56C19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13</w:t>
            </w:r>
          </w:p>
        </w:tc>
        <w:tc>
          <w:tcPr>
            <w:tcW w:w="1681" w:type="pct"/>
            <w:tcBorders>
              <w:top w:val="nil"/>
              <w:left w:val="nil"/>
              <w:bottom w:val="single" w:sz="4" w:space="0" w:color="auto"/>
              <w:right w:val="single" w:sz="4" w:space="0" w:color="auto"/>
            </w:tcBorders>
            <w:shd w:val="clear" w:color="auto" w:fill="auto"/>
            <w:vAlign w:val="center"/>
            <w:hideMark/>
          </w:tcPr>
          <w:p w14:paraId="244D407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Maintenance of</w:t>
            </w:r>
            <w:r w:rsidRPr="003542F3">
              <w:rPr>
                <w:rFonts w:ascii="Arial" w:eastAsia="Times New Roman" w:hAnsi="Arial" w:cs="Arial"/>
                <w:color w:val="000000"/>
                <w:sz w:val="20"/>
                <w:szCs w:val="20"/>
                <w:lang w:eastAsia="en-IN"/>
              </w:rPr>
              <w:br/>
              <w:t>a) Client/TM ledger</w:t>
            </w:r>
            <w:r w:rsidRPr="003542F3">
              <w:rPr>
                <w:rFonts w:ascii="Arial" w:eastAsia="Times New Roman" w:hAnsi="Arial" w:cs="Arial"/>
                <w:color w:val="000000"/>
                <w:sz w:val="20"/>
                <w:szCs w:val="20"/>
                <w:lang w:eastAsia="en-IN"/>
              </w:rPr>
              <w:br/>
              <w:t>b) Register of Securities (Client / TM wise scrip wise Register) (as applicable)</w:t>
            </w:r>
          </w:p>
        </w:tc>
        <w:tc>
          <w:tcPr>
            <w:tcW w:w="664" w:type="pct"/>
            <w:tcBorders>
              <w:top w:val="nil"/>
              <w:left w:val="nil"/>
              <w:bottom w:val="single" w:sz="4" w:space="0" w:color="auto"/>
              <w:right w:val="single" w:sz="4" w:space="0" w:color="auto"/>
            </w:tcBorders>
            <w:shd w:val="clear" w:color="auto" w:fill="auto"/>
            <w:hideMark/>
          </w:tcPr>
          <w:p w14:paraId="42AF6FD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5F6398E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AED960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79ABC5B1"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09BE5B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14</w:t>
            </w:r>
          </w:p>
        </w:tc>
        <w:tc>
          <w:tcPr>
            <w:tcW w:w="1681" w:type="pct"/>
            <w:tcBorders>
              <w:top w:val="nil"/>
              <w:left w:val="nil"/>
              <w:bottom w:val="single" w:sz="4" w:space="0" w:color="auto"/>
              <w:right w:val="single" w:sz="4" w:space="0" w:color="auto"/>
            </w:tcBorders>
            <w:shd w:val="clear" w:color="auto" w:fill="auto"/>
            <w:vAlign w:val="center"/>
            <w:hideMark/>
          </w:tcPr>
          <w:p w14:paraId="47C7C4D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Register of Securities maintained in the prescribed format (as applicable).</w:t>
            </w:r>
          </w:p>
        </w:tc>
        <w:tc>
          <w:tcPr>
            <w:tcW w:w="664" w:type="pct"/>
            <w:tcBorders>
              <w:top w:val="nil"/>
              <w:left w:val="nil"/>
              <w:bottom w:val="single" w:sz="4" w:space="0" w:color="auto"/>
              <w:right w:val="single" w:sz="4" w:space="0" w:color="auto"/>
            </w:tcBorders>
            <w:shd w:val="clear" w:color="auto" w:fill="auto"/>
            <w:hideMark/>
          </w:tcPr>
          <w:p w14:paraId="55D74A8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3F527EB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AD35D3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4E0BC4C9"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DCC18C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15</w:t>
            </w:r>
          </w:p>
        </w:tc>
        <w:tc>
          <w:tcPr>
            <w:tcW w:w="1681" w:type="pct"/>
            <w:tcBorders>
              <w:top w:val="nil"/>
              <w:left w:val="nil"/>
              <w:bottom w:val="single" w:sz="4" w:space="0" w:color="auto"/>
              <w:right w:val="single" w:sz="4" w:space="0" w:color="auto"/>
            </w:tcBorders>
            <w:shd w:val="clear" w:color="auto" w:fill="auto"/>
            <w:vAlign w:val="center"/>
            <w:hideMark/>
          </w:tcPr>
          <w:p w14:paraId="29DF5F57"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Entries for receipt and payment/ transfer of securities &amp; commodities are duly recorded in the register of securities &amp; commodities.</w:t>
            </w:r>
          </w:p>
        </w:tc>
        <w:tc>
          <w:tcPr>
            <w:tcW w:w="664" w:type="pct"/>
            <w:tcBorders>
              <w:top w:val="nil"/>
              <w:left w:val="nil"/>
              <w:bottom w:val="single" w:sz="4" w:space="0" w:color="auto"/>
              <w:right w:val="single" w:sz="4" w:space="0" w:color="auto"/>
            </w:tcBorders>
            <w:shd w:val="clear" w:color="auto" w:fill="auto"/>
            <w:hideMark/>
          </w:tcPr>
          <w:p w14:paraId="7959464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70EACC9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AB6B35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1939D21E"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489304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16</w:t>
            </w:r>
          </w:p>
        </w:tc>
        <w:tc>
          <w:tcPr>
            <w:tcW w:w="1681" w:type="pct"/>
            <w:tcBorders>
              <w:top w:val="nil"/>
              <w:left w:val="nil"/>
              <w:bottom w:val="single" w:sz="4" w:space="0" w:color="auto"/>
              <w:right w:val="single" w:sz="4" w:space="0" w:color="auto"/>
            </w:tcBorders>
            <w:shd w:val="clear" w:color="auto" w:fill="auto"/>
            <w:vAlign w:val="center"/>
            <w:hideMark/>
          </w:tcPr>
          <w:p w14:paraId="0E0EFFA6"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CM has maintained prescribed books of accounts like general ledgers/Cash and Bank Book/Margin Deposit details/Register of complaints/Register of transaction/Register of commodity (as applicable)</w:t>
            </w:r>
          </w:p>
        </w:tc>
        <w:tc>
          <w:tcPr>
            <w:tcW w:w="664" w:type="pct"/>
            <w:tcBorders>
              <w:top w:val="nil"/>
              <w:left w:val="nil"/>
              <w:bottom w:val="single" w:sz="4" w:space="0" w:color="auto"/>
              <w:right w:val="single" w:sz="4" w:space="0" w:color="auto"/>
            </w:tcBorders>
            <w:shd w:val="clear" w:color="auto" w:fill="auto"/>
            <w:hideMark/>
          </w:tcPr>
          <w:p w14:paraId="70723893"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8F1653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FC5256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51BC5996"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A3E849D" w14:textId="710E2848"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D.</w:t>
            </w:r>
          </w:p>
        </w:tc>
        <w:tc>
          <w:tcPr>
            <w:tcW w:w="1681" w:type="pct"/>
            <w:tcBorders>
              <w:top w:val="nil"/>
              <w:left w:val="nil"/>
              <w:bottom w:val="single" w:sz="4" w:space="0" w:color="auto"/>
              <w:right w:val="single" w:sz="4" w:space="0" w:color="auto"/>
            </w:tcBorders>
            <w:shd w:val="clear" w:color="auto" w:fill="auto"/>
            <w:vAlign w:val="center"/>
            <w:hideMark/>
          </w:tcPr>
          <w:p w14:paraId="2B727253"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REPORTINGS BY CLEARING MEMBERS</w:t>
            </w:r>
          </w:p>
        </w:tc>
        <w:tc>
          <w:tcPr>
            <w:tcW w:w="664" w:type="pct"/>
            <w:tcBorders>
              <w:top w:val="nil"/>
              <w:left w:val="nil"/>
              <w:bottom w:val="single" w:sz="4" w:space="0" w:color="auto"/>
              <w:right w:val="single" w:sz="4" w:space="0" w:color="auto"/>
            </w:tcBorders>
            <w:shd w:val="clear" w:color="auto" w:fill="auto"/>
            <w:vAlign w:val="center"/>
            <w:hideMark/>
          </w:tcPr>
          <w:p w14:paraId="6098943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587B1FC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067F03A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67EC5E20"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1C5BE9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17</w:t>
            </w:r>
          </w:p>
        </w:tc>
        <w:tc>
          <w:tcPr>
            <w:tcW w:w="1681" w:type="pct"/>
            <w:tcBorders>
              <w:top w:val="nil"/>
              <w:left w:val="nil"/>
              <w:bottom w:val="single" w:sz="4" w:space="0" w:color="auto"/>
              <w:right w:val="single" w:sz="4" w:space="0" w:color="auto"/>
            </w:tcBorders>
            <w:shd w:val="clear" w:color="auto" w:fill="auto"/>
            <w:vAlign w:val="center"/>
            <w:hideMark/>
          </w:tcPr>
          <w:p w14:paraId="5A2E4ED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Clearing member has undertaken adequate reconciliation before submitting TM wise securities details to Clearing corporation (Submission of collateral details by clearing member as per Clearing Corporation circulars)</w:t>
            </w:r>
          </w:p>
        </w:tc>
        <w:tc>
          <w:tcPr>
            <w:tcW w:w="664" w:type="pct"/>
            <w:tcBorders>
              <w:top w:val="nil"/>
              <w:left w:val="nil"/>
              <w:bottom w:val="single" w:sz="4" w:space="0" w:color="auto"/>
              <w:right w:val="single" w:sz="4" w:space="0" w:color="auto"/>
            </w:tcBorders>
            <w:shd w:val="clear" w:color="auto" w:fill="auto"/>
            <w:hideMark/>
          </w:tcPr>
          <w:p w14:paraId="3D92BA9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10BEBD9"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163ACE4"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Verify that the submission made by the member for the last saturday of each month w.r.t securities balance is as per back office books maintained by the member.</w:t>
            </w:r>
          </w:p>
        </w:tc>
      </w:tr>
      <w:tr w:rsidR="003542F3" w:rsidRPr="003542F3" w14:paraId="6C5C8966" w14:textId="77777777" w:rsidTr="00C04549">
        <w:trPr>
          <w:trHeight w:val="3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1E3CD6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18</w:t>
            </w:r>
          </w:p>
        </w:tc>
        <w:tc>
          <w:tcPr>
            <w:tcW w:w="1681" w:type="pct"/>
            <w:tcBorders>
              <w:top w:val="nil"/>
              <w:left w:val="nil"/>
              <w:bottom w:val="single" w:sz="4" w:space="0" w:color="auto"/>
              <w:right w:val="single" w:sz="4" w:space="0" w:color="auto"/>
            </w:tcBorders>
            <w:shd w:val="clear" w:color="auto" w:fill="auto"/>
            <w:vAlign w:val="center"/>
            <w:hideMark/>
          </w:tcPr>
          <w:p w14:paraId="4B4C2E01"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Verification of T+1 segregated client collateral reporting</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448DB5C1"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B827B5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27C2845C"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Dates (one date in each month of the Audit period) with highest margin requirement (combined across all segments).</w:t>
            </w:r>
            <w:r w:rsidRPr="003542F3">
              <w:rPr>
                <w:rFonts w:ascii="Arial" w:eastAsia="Times New Roman" w:hAnsi="Arial" w:cs="Arial"/>
                <w:sz w:val="20"/>
                <w:szCs w:val="20"/>
                <w:lang w:val="en-IN" w:eastAsia="en-IN"/>
              </w:rPr>
              <w:br/>
              <w:t>Placed with CM, retained by CM – figures reported to be verified from the books of the members.</w:t>
            </w:r>
            <w:r w:rsidRPr="003542F3">
              <w:rPr>
                <w:rFonts w:ascii="Arial" w:eastAsia="Times New Roman" w:hAnsi="Arial" w:cs="Arial"/>
                <w:sz w:val="20"/>
                <w:szCs w:val="20"/>
                <w:lang w:val="en-IN" w:eastAsia="en-IN"/>
              </w:rPr>
              <w:br/>
              <w:t>Placed with NCCL (Cash/FD/BG)- for the shortlisted date, members can take aggregate of each column (cash/FD and BG) under “Placed with NCCL” reported in T+1 and match with the files issued by NCCL.</w:t>
            </w:r>
            <w:r w:rsidRPr="003542F3">
              <w:rPr>
                <w:rFonts w:ascii="Arial" w:eastAsia="Times New Roman" w:hAnsi="Arial" w:cs="Arial"/>
                <w:sz w:val="20"/>
                <w:szCs w:val="20"/>
                <w:lang w:val="en-IN" w:eastAsia="en-IN"/>
              </w:rPr>
              <w:br/>
              <w:t>For securities placed with NCCL, the same can be matched with Sec Deposits file value.</w:t>
            </w:r>
            <w:r w:rsidRPr="003542F3">
              <w:rPr>
                <w:rFonts w:ascii="Arial" w:eastAsia="Times New Roman" w:hAnsi="Arial" w:cs="Arial"/>
                <w:sz w:val="20"/>
                <w:szCs w:val="20"/>
                <w:lang w:val="en-IN" w:eastAsia="en-IN"/>
              </w:rPr>
              <w:br/>
              <w:t>Verify whether Placed with CM is equal to sum of Retained by CM and Placed with NCCL.</w:t>
            </w:r>
          </w:p>
        </w:tc>
      </w:tr>
      <w:tr w:rsidR="003542F3" w:rsidRPr="003542F3" w14:paraId="0A353896" w14:textId="77777777" w:rsidTr="00C04549">
        <w:trPr>
          <w:trHeight w:val="2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50FEEF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19</w:t>
            </w:r>
          </w:p>
        </w:tc>
        <w:tc>
          <w:tcPr>
            <w:tcW w:w="1681" w:type="pct"/>
            <w:tcBorders>
              <w:top w:val="nil"/>
              <w:left w:val="nil"/>
              <w:bottom w:val="single" w:sz="4" w:space="0" w:color="auto"/>
              <w:right w:val="single" w:sz="4" w:space="0" w:color="auto"/>
            </w:tcBorders>
            <w:shd w:val="clear" w:color="auto" w:fill="auto"/>
            <w:vAlign w:val="center"/>
            <w:hideMark/>
          </w:tcPr>
          <w:p w14:paraId="3F4E41C8"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correctly allocated the collaterals</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hideMark/>
          </w:tcPr>
          <w:p w14:paraId="383E7245"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EB2880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3219288B"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Dates (one date in each month of the Audit period) with highest margin requirement (combined across all segments).</w:t>
            </w:r>
            <w:r w:rsidRPr="003542F3">
              <w:rPr>
                <w:rFonts w:ascii="Arial" w:eastAsia="Times New Roman" w:hAnsi="Arial" w:cs="Arial"/>
                <w:sz w:val="20"/>
                <w:szCs w:val="20"/>
                <w:lang w:val="en-IN" w:eastAsia="en-IN"/>
              </w:rPr>
              <w:br/>
              <w:t>Verify that allocation of collateral at CC shall not be lower than the amount of collateral (except securities collateral re-pledged to CC) reported as having been passed on by the CM to the CC.</w:t>
            </w:r>
            <w:r w:rsidRPr="003542F3">
              <w:rPr>
                <w:rFonts w:ascii="Arial" w:eastAsia="Times New Roman" w:hAnsi="Arial" w:cs="Arial"/>
                <w:sz w:val="20"/>
                <w:szCs w:val="20"/>
                <w:lang w:val="en-IN" w:eastAsia="en-IN"/>
              </w:rPr>
              <w:br/>
              <w:t>Verify that the amount of collateral allocated shall not exceed the amount of collateral received by the TM/CM from the client and reported as such in T+1 (excluding the securities collateral re-pledged to CC through margin pledge mechanism).</w:t>
            </w:r>
          </w:p>
        </w:tc>
      </w:tr>
      <w:tr w:rsidR="003542F3" w:rsidRPr="003542F3" w14:paraId="1647BB4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6C88F0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20</w:t>
            </w:r>
          </w:p>
        </w:tc>
        <w:tc>
          <w:tcPr>
            <w:tcW w:w="1681" w:type="pct"/>
            <w:tcBorders>
              <w:top w:val="nil"/>
              <w:left w:val="nil"/>
              <w:bottom w:val="single" w:sz="4" w:space="0" w:color="auto"/>
              <w:right w:val="single" w:sz="4" w:space="0" w:color="auto"/>
            </w:tcBorders>
            <w:shd w:val="clear" w:color="auto" w:fill="auto"/>
            <w:vAlign w:val="center"/>
            <w:hideMark/>
          </w:tcPr>
          <w:p w14:paraId="47241D1E"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Member has reported all their Bank account details.  </w:t>
            </w:r>
          </w:p>
        </w:tc>
        <w:tc>
          <w:tcPr>
            <w:tcW w:w="664" w:type="pct"/>
            <w:tcBorders>
              <w:top w:val="nil"/>
              <w:left w:val="nil"/>
              <w:bottom w:val="single" w:sz="4" w:space="0" w:color="auto"/>
              <w:right w:val="single" w:sz="4" w:space="0" w:color="auto"/>
            </w:tcBorders>
            <w:shd w:val="clear" w:color="auto" w:fill="auto"/>
            <w:hideMark/>
          </w:tcPr>
          <w:p w14:paraId="4F7DE15D"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B3B81FB"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Audit Period </w:t>
            </w:r>
          </w:p>
        </w:tc>
        <w:tc>
          <w:tcPr>
            <w:tcW w:w="1647" w:type="pct"/>
            <w:tcBorders>
              <w:top w:val="nil"/>
              <w:left w:val="nil"/>
              <w:bottom w:val="single" w:sz="4" w:space="0" w:color="auto"/>
              <w:right w:val="single" w:sz="4" w:space="0" w:color="auto"/>
            </w:tcBorders>
            <w:shd w:val="clear" w:color="auto" w:fill="auto"/>
            <w:vAlign w:val="center"/>
            <w:hideMark/>
          </w:tcPr>
          <w:p w14:paraId="24F641D1"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All bank accounts to be verified </w:t>
            </w:r>
          </w:p>
        </w:tc>
      </w:tr>
      <w:tr w:rsidR="003542F3" w:rsidRPr="003542F3" w14:paraId="1F31C796" w14:textId="77777777" w:rsidTr="00C04549">
        <w:trPr>
          <w:trHeight w:val="1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8E8702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21</w:t>
            </w:r>
          </w:p>
        </w:tc>
        <w:tc>
          <w:tcPr>
            <w:tcW w:w="1681" w:type="pct"/>
            <w:tcBorders>
              <w:top w:val="nil"/>
              <w:left w:val="nil"/>
              <w:bottom w:val="single" w:sz="4" w:space="0" w:color="auto"/>
              <w:right w:val="single" w:sz="4" w:space="0" w:color="auto"/>
            </w:tcBorders>
            <w:shd w:val="clear" w:color="auto" w:fill="auto"/>
            <w:vAlign w:val="center"/>
            <w:hideMark/>
          </w:tcPr>
          <w:p w14:paraId="68236E7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is required to mention justifications for retention of collateral in the daily client collateral segregation file in terms of NCCL/COMPLIANCE-005/2024 dated April 25, 2024.</w:t>
            </w:r>
          </w:p>
        </w:tc>
        <w:tc>
          <w:tcPr>
            <w:tcW w:w="664" w:type="pct"/>
            <w:tcBorders>
              <w:top w:val="nil"/>
              <w:left w:val="nil"/>
              <w:bottom w:val="single" w:sz="4" w:space="0" w:color="auto"/>
              <w:right w:val="single" w:sz="4" w:space="0" w:color="auto"/>
            </w:tcBorders>
            <w:shd w:val="clear" w:color="auto" w:fill="auto"/>
            <w:hideMark/>
          </w:tcPr>
          <w:p w14:paraId="3250E2EE"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41EA44B"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Refer  Sampling Criteria of margin dates </w:t>
            </w:r>
          </w:p>
        </w:tc>
        <w:tc>
          <w:tcPr>
            <w:tcW w:w="1647" w:type="pct"/>
            <w:tcBorders>
              <w:top w:val="nil"/>
              <w:left w:val="nil"/>
              <w:bottom w:val="single" w:sz="4" w:space="0" w:color="auto"/>
              <w:right w:val="single" w:sz="4" w:space="0" w:color="auto"/>
            </w:tcBorders>
            <w:shd w:val="clear" w:color="auto" w:fill="auto"/>
            <w:vAlign w:val="center"/>
            <w:hideMark/>
          </w:tcPr>
          <w:p w14:paraId="0691B74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For Reason code mentioned in segregation reporting, internal auditor shall ask the justification of the same to the member along with relevant proof. Internal Auditor shall consider the same sample date as considered for margin reporting. </w:t>
            </w:r>
          </w:p>
        </w:tc>
      </w:tr>
      <w:tr w:rsidR="003542F3" w:rsidRPr="003542F3" w14:paraId="33AA1AAD"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3C28B5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22</w:t>
            </w:r>
          </w:p>
        </w:tc>
        <w:tc>
          <w:tcPr>
            <w:tcW w:w="1681" w:type="pct"/>
            <w:tcBorders>
              <w:top w:val="nil"/>
              <w:left w:val="nil"/>
              <w:bottom w:val="single" w:sz="4" w:space="0" w:color="auto"/>
              <w:right w:val="single" w:sz="4" w:space="0" w:color="auto"/>
            </w:tcBorders>
            <w:shd w:val="clear" w:color="auto" w:fill="auto"/>
            <w:vAlign w:val="center"/>
            <w:hideMark/>
          </w:tcPr>
          <w:p w14:paraId="6967D41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Submission of Associate details by clearing members in terms of NCCL/MEMBERSHIP-006/2024 dated July 24, 2024 </w:t>
            </w:r>
          </w:p>
        </w:tc>
        <w:tc>
          <w:tcPr>
            <w:tcW w:w="664" w:type="pct"/>
            <w:tcBorders>
              <w:top w:val="nil"/>
              <w:left w:val="nil"/>
              <w:bottom w:val="single" w:sz="4" w:space="0" w:color="auto"/>
              <w:right w:val="single" w:sz="4" w:space="0" w:color="auto"/>
            </w:tcBorders>
            <w:shd w:val="clear" w:color="auto" w:fill="auto"/>
            <w:hideMark/>
          </w:tcPr>
          <w:p w14:paraId="4F3FF6CE"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3EC1A1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Audit Period </w:t>
            </w:r>
          </w:p>
        </w:tc>
        <w:tc>
          <w:tcPr>
            <w:tcW w:w="1647" w:type="pct"/>
            <w:tcBorders>
              <w:top w:val="nil"/>
              <w:left w:val="nil"/>
              <w:bottom w:val="single" w:sz="4" w:space="0" w:color="auto"/>
              <w:right w:val="single" w:sz="4" w:space="0" w:color="auto"/>
            </w:tcBorders>
            <w:shd w:val="clear" w:color="auto" w:fill="auto"/>
            <w:vAlign w:val="center"/>
            <w:hideMark/>
          </w:tcPr>
          <w:p w14:paraId="73B2F691"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List of associates details needs to be verified by the internal auditor with the submission made to NCCL. </w:t>
            </w:r>
          </w:p>
        </w:tc>
      </w:tr>
      <w:tr w:rsidR="003542F3" w:rsidRPr="003542F3" w14:paraId="76E38CD4"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FCE3E62" w14:textId="167AABF3"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E.</w:t>
            </w:r>
          </w:p>
        </w:tc>
        <w:tc>
          <w:tcPr>
            <w:tcW w:w="1681" w:type="pct"/>
            <w:tcBorders>
              <w:top w:val="nil"/>
              <w:left w:val="nil"/>
              <w:bottom w:val="single" w:sz="4" w:space="0" w:color="auto"/>
              <w:right w:val="single" w:sz="4" w:space="0" w:color="auto"/>
            </w:tcBorders>
            <w:shd w:val="clear" w:color="auto" w:fill="auto"/>
            <w:vAlign w:val="center"/>
            <w:hideMark/>
          </w:tcPr>
          <w:p w14:paraId="463BFFC8"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STRENGTHENING OVERSIGHT ON CLEARING MEMBERS</w:t>
            </w:r>
          </w:p>
        </w:tc>
        <w:tc>
          <w:tcPr>
            <w:tcW w:w="664" w:type="pct"/>
            <w:tcBorders>
              <w:top w:val="nil"/>
              <w:left w:val="nil"/>
              <w:bottom w:val="single" w:sz="4" w:space="0" w:color="auto"/>
              <w:right w:val="single" w:sz="4" w:space="0" w:color="auto"/>
            </w:tcBorders>
            <w:shd w:val="clear" w:color="auto" w:fill="auto"/>
            <w:vAlign w:val="center"/>
            <w:hideMark/>
          </w:tcPr>
          <w:p w14:paraId="06D06EC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0535A67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763F566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36879615" w14:textId="77777777" w:rsidTr="00C04549">
        <w:trPr>
          <w:trHeight w:val="1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29E9D5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23</w:t>
            </w:r>
          </w:p>
        </w:tc>
        <w:tc>
          <w:tcPr>
            <w:tcW w:w="1681" w:type="pct"/>
            <w:tcBorders>
              <w:top w:val="nil"/>
              <w:left w:val="nil"/>
              <w:bottom w:val="single" w:sz="4" w:space="0" w:color="auto"/>
              <w:right w:val="single" w:sz="4" w:space="0" w:color="auto"/>
            </w:tcBorders>
            <w:shd w:val="clear" w:color="auto" w:fill="auto"/>
            <w:vAlign w:val="center"/>
            <w:hideMark/>
          </w:tcPr>
          <w:p w14:paraId="6A0639D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Monitoring pay-in timelines by the TMs</w:t>
            </w:r>
            <w:r w:rsidRPr="003542F3">
              <w:rPr>
                <w:rFonts w:ascii="Arial" w:eastAsia="Times New Roman" w:hAnsi="Arial" w:cs="Arial"/>
                <w:color w:val="000000"/>
                <w:sz w:val="20"/>
                <w:szCs w:val="20"/>
                <w:lang w:eastAsia="en-IN"/>
              </w:rPr>
              <w:br/>
              <w:t>CM should monitor the pay-in timelines by the TM and regular delayed receipt of pay-ins/repeated instances of shortfalls be dealt with in accordance with the Risk Management Policy of the Clearing Member</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lastRenderedPageBreak/>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vAlign w:val="center"/>
            <w:hideMark/>
          </w:tcPr>
          <w:p w14:paraId="0BE4D76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lastRenderedPageBreak/>
              <w:t>STCM and PCM</w:t>
            </w:r>
          </w:p>
        </w:tc>
        <w:tc>
          <w:tcPr>
            <w:tcW w:w="690" w:type="pct"/>
            <w:tcBorders>
              <w:top w:val="nil"/>
              <w:left w:val="nil"/>
              <w:bottom w:val="single" w:sz="4" w:space="0" w:color="auto"/>
              <w:right w:val="single" w:sz="4" w:space="0" w:color="auto"/>
            </w:tcBorders>
            <w:shd w:val="clear" w:color="auto" w:fill="auto"/>
            <w:vAlign w:val="center"/>
            <w:hideMark/>
          </w:tcPr>
          <w:p w14:paraId="6528410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Refer Sampling Criteria</w:t>
            </w:r>
          </w:p>
        </w:tc>
        <w:tc>
          <w:tcPr>
            <w:tcW w:w="1647" w:type="pct"/>
            <w:tcBorders>
              <w:top w:val="nil"/>
              <w:left w:val="nil"/>
              <w:bottom w:val="single" w:sz="4" w:space="0" w:color="auto"/>
              <w:right w:val="single" w:sz="4" w:space="0" w:color="auto"/>
            </w:tcBorders>
            <w:shd w:val="clear" w:color="auto" w:fill="auto"/>
            <w:vAlign w:val="center"/>
            <w:hideMark/>
          </w:tcPr>
          <w:p w14:paraId="5454066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 xml:space="preserve">6 </w:t>
            </w:r>
            <w:r w:rsidRPr="003542F3">
              <w:rPr>
                <w:rFonts w:ascii="Arial" w:eastAsia="Times New Roman" w:hAnsi="Arial" w:cs="Arial"/>
                <w:sz w:val="20"/>
                <w:szCs w:val="20"/>
                <w:lang w:val="en-IN" w:eastAsia="en-IN"/>
              </w:rPr>
              <w:t xml:space="preserve">Dates (one date in each month of the Audit period) with highest margin requirement (combined across all segments) </w:t>
            </w:r>
          </w:p>
        </w:tc>
      </w:tr>
      <w:tr w:rsidR="003542F3" w:rsidRPr="003542F3" w14:paraId="3F6D9CF4" w14:textId="77777777" w:rsidTr="00C04549">
        <w:trPr>
          <w:trHeight w:val="1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A95819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24</w:t>
            </w:r>
          </w:p>
        </w:tc>
        <w:tc>
          <w:tcPr>
            <w:tcW w:w="1681" w:type="pct"/>
            <w:tcBorders>
              <w:top w:val="nil"/>
              <w:left w:val="nil"/>
              <w:bottom w:val="single" w:sz="4" w:space="0" w:color="auto"/>
              <w:right w:val="single" w:sz="4" w:space="0" w:color="auto"/>
            </w:tcBorders>
            <w:shd w:val="clear" w:color="auto" w:fill="auto"/>
            <w:vAlign w:val="center"/>
            <w:hideMark/>
          </w:tcPr>
          <w:p w14:paraId="24994F28"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Monitoring penalties levied to clients of the Trading Members</w:t>
            </w:r>
            <w:r w:rsidRPr="003542F3">
              <w:rPr>
                <w:rFonts w:ascii="Arial" w:eastAsia="Times New Roman" w:hAnsi="Arial" w:cs="Arial"/>
                <w:color w:val="000000"/>
                <w:sz w:val="20"/>
                <w:szCs w:val="20"/>
                <w:lang w:eastAsia="en-IN"/>
              </w:rPr>
              <w:br/>
              <w:t>The CM should analyze the data of the Trading Members such as repeated instances of penalties being levied to the clients of TM for client margin reporting</w:t>
            </w:r>
            <w:r w:rsidRPr="003542F3">
              <w:rPr>
                <w:rFonts w:ascii="Arial" w:eastAsia="Times New Roman" w:hAnsi="Arial" w:cs="Arial"/>
                <w:color w:val="000000"/>
                <w:sz w:val="20"/>
                <w:szCs w:val="20"/>
                <w:lang w:eastAsia="en-IN"/>
              </w:rPr>
              <w:br/>
            </w:r>
            <w:r w:rsidRPr="003542F3">
              <w:rPr>
                <w:rFonts w:ascii="Arial" w:eastAsia="Times New Roman" w:hAnsi="Arial" w:cs="Arial"/>
                <w:color w:val="000000"/>
                <w:sz w:val="20"/>
                <w:szCs w:val="20"/>
                <w:lang w:eastAsia="en-IN"/>
              </w:rPr>
              <w:br/>
              <w:t>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vAlign w:val="center"/>
            <w:hideMark/>
          </w:tcPr>
          <w:p w14:paraId="287E681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146BAA1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Out of number of members selected on the basis of the methodology given, select top 5 TMs on the basis of  highest penalty </w:t>
            </w:r>
          </w:p>
        </w:tc>
        <w:tc>
          <w:tcPr>
            <w:tcW w:w="1647" w:type="pct"/>
            <w:tcBorders>
              <w:top w:val="nil"/>
              <w:left w:val="nil"/>
              <w:bottom w:val="single" w:sz="4" w:space="0" w:color="auto"/>
              <w:right w:val="single" w:sz="4" w:space="0" w:color="auto"/>
            </w:tcBorders>
            <w:shd w:val="clear" w:color="auto" w:fill="auto"/>
            <w:vAlign w:val="center"/>
            <w:hideMark/>
          </w:tcPr>
          <w:p w14:paraId="01694AF7"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No. of instances of penalty levied on trading members is greater than 3 instances during the audit period</w:t>
            </w:r>
          </w:p>
        </w:tc>
      </w:tr>
      <w:tr w:rsidR="003542F3" w:rsidRPr="003542F3" w14:paraId="2CFFB7A4"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B2B117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25</w:t>
            </w:r>
          </w:p>
        </w:tc>
        <w:tc>
          <w:tcPr>
            <w:tcW w:w="1681" w:type="pct"/>
            <w:tcBorders>
              <w:top w:val="nil"/>
              <w:left w:val="nil"/>
              <w:bottom w:val="single" w:sz="4" w:space="0" w:color="auto"/>
              <w:right w:val="single" w:sz="4" w:space="0" w:color="auto"/>
            </w:tcBorders>
            <w:shd w:val="clear" w:color="auto" w:fill="auto"/>
            <w:vAlign w:val="center"/>
            <w:hideMark/>
          </w:tcPr>
          <w:p w14:paraId="6E49B27B"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Seeking data of debit balances of Trading Member’s clients</w:t>
            </w:r>
            <w:r w:rsidRPr="003542F3">
              <w:rPr>
                <w:rFonts w:ascii="Arial" w:eastAsia="Times New Roman" w:hAnsi="Arial" w:cs="Arial"/>
                <w:color w:val="000000"/>
                <w:sz w:val="20"/>
                <w:szCs w:val="20"/>
                <w:lang w:eastAsia="en-IN"/>
              </w:rPr>
              <w:br/>
              <w:t>CM should seek data with respect to debit balances of clients from Trading Member and review the exposure allowed by the TM and direct the TM to restrict/reduce exposure for such clients</w:t>
            </w:r>
          </w:p>
        </w:tc>
        <w:tc>
          <w:tcPr>
            <w:tcW w:w="664" w:type="pct"/>
            <w:tcBorders>
              <w:top w:val="nil"/>
              <w:left w:val="nil"/>
              <w:bottom w:val="single" w:sz="4" w:space="0" w:color="auto"/>
              <w:right w:val="single" w:sz="4" w:space="0" w:color="auto"/>
            </w:tcBorders>
            <w:shd w:val="clear" w:color="auto" w:fill="auto"/>
            <w:vAlign w:val="center"/>
            <w:hideMark/>
          </w:tcPr>
          <w:p w14:paraId="1C5117F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6E120FC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5F3974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4FB813EB" w14:textId="77777777" w:rsidTr="00C04549">
        <w:trPr>
          <w:trHeight w:val="1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934EC8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26</w:t>
            </w:r>
          </w:p>
        </w:tc>
        <w:tc>
          <w:tcPr>
            <w:tcW w:w="1681" w:type="pct"/>
            <w:tcBorders>
              <w:top w:val="nil"/>
              <w:left w:val="nil"/>
              <w:bottom w:val="single" w:sz="4" w:space="0" w:color="auto"/>
              <w:right w:val="single" w:sz="4" w:space="0" w:color="auto"/>
            </w:tcBorders>
            <w:shd w:val="clear" w:color="auto" w:fill="auto"/>
            <w:vAlign w:val="center"/>
            <w:hideMark/>
          </w:tcPr>
          <w:p w14:paraId="2E633B6E"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Monitoring misuse of client collaterals by TM for proprietary trading</w:t>
            </w:r>
            <w:r w:rsidRPr="003542F3">
              <w:rPr>
                <w:rFonts w:ascii="Arial" w:eastAsia="Times New Roman" w:hAnsi="Arial" w:cs="Arial"/>
                <w:color w:val="000000"/>
                <w:sz w:val="20"/>
                <w:szCs w:val="20"/>
                <w:lang w:eastAsia="en-IN"/>
              </w:rPr>
              <w:br/>
              <w:t>The CM should ensure that the TM does not comingle client collateral with the proprietary collateral and that it provides separate collaterals for proprietary positions out of own funds only and not from the client collaterals. The inspection of TM should cover this aspect in compliance with NCCL/COMPLIANCE-001/2022   dated March 04, 2022.</w:t>
            </w:r>
          </w:p>
        </w:tc>
        <w:tc>
          <w:tcPr>
            <w:tcW w:w="664" w:type="pct"/>
            <w:tcBorders>
              <w:top w:val="nil"/>
              <w:left w:val="nil"/>
              <w:bottom w:val="single" w:sz="4" w:space="0" w:color="auto"/>
              <w:right w:val="single" w:sz="4" w:space="0" w:color="auto"/>
            </w:tcBorders>
            <w:shd w:val="clear" w:color="auto" w:fill="auto"/>
            <w:vAlign w:val="center"/>
            <w:hideMark/>
          </w:tcPr>
          <w:p w14:paraId="2FEBC7E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35F98D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577605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02D9E445"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3E0F33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27</w:t>
            </w:r>
          </w:p>
        </w:tc>
        <w:tc>
          <w:tcPr>
            <w:tcW w:w="1681" w:type="pct"/>
            <w:tcBorders>
              <w:top w:val="nil"/>
              <w:left w:val="nil"/>
              <w:bottom w:val="single" w:sz="4" w:space="0" w:color="auto"/>
              <w:right w:val="single" w:sz="4" w:space="0" w:color="auto"/>
            </w:tcBorders>
            <w:shd w:val="clear" w:color="auto" w:fill="auto"/>
            <w:vAlign w:val="center"/>
            <w:hideMark/>
          </w:tcPr>
          <w:p w14:paraId="47DE69F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Correctness of data submitted by TMs to CM</w:t>
            </w:r>
            <w:r w:rsidRPr="003542F3">
              <w:rPr>
                <w:rFonts w:ascii="Arial" w:eastAsia="Times New Roman" w:hAnsi="Arial" w:cs="Arial"/>
                <w:color w:val="000000"/>
                <w:sz w:val="20"/>
                <w:szCs w:val="20"/>
                <w:lang w:eastAsia="en-IN"/>
              </w:rPr>
              <w:br/>
              <w:t>TMs submit various data to the CM, which may be submitted by the CM to CC. The CM should assess the correctness of the data submitted by the TMs to CM in compliance with NCCL/COMPLIANCE-001/2022   dated March 04, 2022.</w:t>
            </w:r>
          </w:p>
        </w:tc>
        <w:tc>
          <w:tcPr>
            <w:tcW w:w="664" w:type="pct"/>
            <w:tcBorders>
              <w:top w:val="nil"/>
              <w:left w:val="nil"/>
              <w:bottom w:val="single" w:sz="4" w:space="0" w:color="auto"/>
              <w:right w:val="single" w:sz="4" w:space="0" w:color="auto"/>
            </w:tcBorders>
            <w:shd w:val="clear" w:color="auto" w:fill="auto"/>
            <w:vAlign w:val="center"/>
            <w:hideMark/>
          </w:tcPr>
          <w:p w14:paraId="3A93969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4B05471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4844F1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51FA7B26" w14:textId="77777777" w:rsidTr="00C04549">
        <w:trPr>
          <w:trHeight w:val="1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C16DB2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28</w:t>
            </w:r>
          </w:p>
        </w:tc>
        <w:tc>
          <w:tcPr>
            <w:tcW w:w="1681" w:type="pct"/>
            <w:tcBorders>
              <w:top w:val="nil"/>
              <w:left w:val="nil"/>
              <w:bottom w:val="single" w:sz="4" w:space="0" w:color="auto"/>
              <w:right w:val="single" w:sz="4" w:space="0" w:color="auto"/>
            </w:tcBorders>
            <w:shd w:val="clear" w:color="auto" w:fill="auto"/>
            <w:vAlign w:val="center"/>
            <w:hideMark/>
          </w:tcPr>
          <w:p w14:paraId="13E2F1F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Inspection of TMs</w:t>
            </w:r>
            <w:r w:rsidRPr="003542F3">
              <w:rPr>
                <w:rFonts w:ascii="Arial" w:eastAsia="Times New Roman" w:hAnsi="Arial" w:cs="Arial"/>
                <w:color w:val="000000"/>
                <w:sz w:val="20"/>
                <w:szCs w:val="20"/>
                <w:lang w:eastAsia="en-IN"/>
              </w:rPr>
              <w:br/>
              <w:t>It is recommended that the CM carry out inspections of Trading Members, covering at least 1/3rd of the TMs cleared by it each year in order to cover all TMs over a period of 3 years. Additionally, CM may also conduct surprise inspection based on any rumors/adverse news in the media about the TM or any other concern/alerts as arising out of the above points by the CM during the course of business in compliance with NCCL/COMPLIANCE-001/2022   dated March 04, 2022.</w:t>
            </w:r>
          </w:p>
        </w:tc>
        <w:tc>
          <w:tcPr>
            <w:tcW w:w="664" w:type="pct"/>
            <w:tcBorders>
              <w:top w:val="nil"/>
              <w:left w:val="nil"/>
              <w:bottom w:val="single" w:sz="4" w:space="0" w:color="auto"/>
              <w:right w:val="single" w:sz="4" w:space="0" w:color="auto"/>
            </w:tcBorders>
            <w:shd w:val="clear" w:color="auto" w:fill="auto"/>
            <w:vAlign w:val="center"/>
            <w:hideMark/>
          </w:tcPr>
          <w:p w14:paraId="046A60F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0158B7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5950C0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7861DA15" w14:textId="77777777" w:rsidTr="00C04549">
        <w:trPr>
          <w:trHeight w:val="1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15340C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29</w:t>
            </w:r>
          </w:p>
        </w:tc>
        <w:tc>
          <w:tcPr>
            <w:tcW w:w="1681" w:type="pct"/>
            <w:tcBorders>
              <w:top w:val="nil"/>
              <w:left w:val="nil"/>
              <w:bottom w:val="single" w:sz="4" w:space="0" w:color="auto"/>
              <w:right w:val="single" w:sz="4" w:space="0" w:color="auto"/>
            </w:tcBorders>
            <w:shd w:val="clear" w:color="auto" w:fill="auto"/>
            <w:vAlign w:val="center"/>
            <w:hideMark/>
          </w:tcPr>
          <w:p w14:paraId="41E95302"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Formation of Risk Management Committee / Board Approved Committee for monitoring the risks</w:t>
            </w:r>
            <w:r w:rsidRPr="003542F3">
              <w:rPr>
                <w:rFonts w:ascii="Arial" w:eastAsia="Times New Roman" w:hAnsi="Arial" w:cs="Arial"/>
                <w:color w:val="000000"/>
                <w:sz w:val="20"/>
                <w:szCs w:val="20"/>
                <w:lang w:eastAsia="en-IN"/>
              </w:rPr>
              <w:br/>
              <w:t>The CMs should be required to form a Risk Management Committee / board Approved Committee to monitor the various risks in the business. A periodic report (monthly or at least quarterly) for the TMs for which it has undertaken the clearing activity should be submitted to such Committee</w:t>
            </w:r>
          </w:p>
        </w:tc>
        <w:tc>
          <w:tcPr>
            <w:tcW w:w="664" w:type="pct"/>
            <w:tcBorders>
              <w:top w:val="nil"/>
              <w:left w:val="nil"/>
              <w:bottom w:val="single" w:sz="4" w:space="0" w:color="auto"/>
              <w:right w:val="single" w:sz="4" w:space="0" w:color="auto"/>
            </w:tcBorders>
            <w:shd w:val="clear" w:color="auto" w:fill="auto"/>
            <w:vAlign w:val="center"/>
            <w:hideMark/>
          </w:tcPr>
          <w:p w14:paraId="2F22547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530EF97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0848EA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41472E69"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CF85F0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30</w:t>
            </w:r>
          </w:p>
        </w:tc>
        <w:tc>
          <w:tcPr>
            <w:tcW w:w="1681" w:type="pct"/>
            <w:tcBorders>
              <w:top w:val="nil"/>
              <w:left w:val="nil"/>
              <w:bottom w:val="single" w:sz="4" w:space="0" w:color="auto"/>
              <w:right w:val="single" w:sz="4" w:space="0" w:color="auto"/>
            </w:tcBorders>
            <w:shd w:val="clear" w:color="auto" w:fill="auto"/>
            <w:vAlign w:val="center"/>
            <w:hideMark/>
          </w:tcPr>
          <w:p w14:paraId="3F62574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the member has placed any periodic reports before its Risk management Committee/Board Approved Committee during the audit period</w:t>
            </w:r>
          </w:p>
        </w:tc>
        <w:tc>
          <w:tcPr>
            <w:tcW w:w="664" w:type="pct"/>
            <w:tcBorders>
              <w:top w:val="nil"/>
              <w:left w:val="nil"/>
              <w:bottom w:val="single" w:sz="4" w:space="0" w:color="auto"/>
              <w:right w:val="single" w:sz="4" w:space="0" w:color="auto"/>
            </w:tcBorders>
            <w:shd w:val="clear" w:color="auto" w:fill="auto"/>
            <w:vAlign w:val="center"/>
            <w:hideMark/>
          </w:tcPr>
          <w:p w14:paraId="3ABA059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D748B4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B10097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Details of the cases placed before the Committee to be sought.</w:t>
            </w:r>
          </w:p>
        </w:tc>
      </w:tr>
      <w:tr w:rsidR="003542F3" w:rsidRPr="003542F3" w14:paraId="57AE668B"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2CC3D5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31</w:t>
            </w:r>
          </w:p>
        </w:tc>
        <w:tc>
          <w:tcPr>
            <w:tcW w:w="1681" w:type="pct"/>
            <w:tcBorders>
              <w:top w:val="nil"/>
              <w:left w:val="nil"/>
              <w:bottom w:val="single" w:sz="4" w:space="0" w:color="auto"/>
              <w:right w:val="single" w:sz="4" w:space="0" w:color="auto"/>
            </w:tcBorders>
            <w:shd w:val="clear" w:color="auto" w:fill="auto"/>
            <w:vAlign w:val="center"/>
            <w:hideMark/>
          </w:tcPr>
          <w:p w14:paraId="505B4D70"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Reporting of alerts by Clearing Members</w:t>
            </w:r>
            <w:r w:rsidRPr="003542F3">
              <w:rPr>
                <w:rFonts w:ascii="Arial" w:eastAsia="Times New Roman" w:hAnsi="Arial" w:cs="Arial"/>
                <w:color w:val="000000"/>
                <w:sz w:val="20"/>
                <w:szCs w:val="20"/>
                <w:lang w:eastAsia="en-IN"/>
              </w:rPr>
              <w:br/>
              <w:t>Clearing Members should be reporting the concerns identified by them during the oversight over Trading Members to the concerned Clearing Corporation, which in turn would report the same to the concerned Exchange for further action</w:t>
            </w:r>
          </w:p>
        </w:tc>
        <w:tc>
          <w:tcPr>
            <w:tcW w:w="664" w:type="pct"/>
            <w:tcBorders>
              <w:top w:val="nil"/>
              <w:left w:val="nil"/>
              <w:bottom w:val="single" w:sz="4" w:space="0" w:color="auto"/>
              <w:right w:val="single" w:sz="4" w:space="0" w:color="auto"/>
            </w:tcBorders>
            <w:shd w:val="clear" w:color="auto" w:fill="auto"/>
            <w:vAlign w:val="center"/>
            <w:hideMark/>
          </w:tcPr>
          <w:p w14:paraId="59B6990D"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4D1A7FF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CACAE7B"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2C5811E8" w14:textId="77777777" w:rsidTr="00C04549">
        <w:trPr>
          <w:trHeight w:val="518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8A0D5B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32</w:t>
            </w:r>
          </w:p>
        </w:tc>
        <w:tc>
          <w:tcPr>
            <w:tcW w:w="1681" w:type="pct"/>
            <w:tcBorders>
              <w:top w:val="nil"/>
              <w:left w:val="nil"/>
              <w:bottom w:val="single" w:sz="4" w:space="0" w:color="auto"/>
              <w:right w:val="single" w:sz="4" w:space="0" w:color="auto"/>
            </w:tcBorders>
            <w:shd w:val="clear" w:color="auto" w:fill="auto"/>
            <w:vAlign w:val="center"/>
            <w:hideMark/>
          </w:tcPr>
          <w:p w14:paraId="2D347513"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CMs should have a Risk Management policy duly approved by the Board / Board Approved Committee covering the below points:</w:t>
            </w:r>
            <w:r w:rsidRPr="003542F3">
              <w:rPr>
                <w:rFonts w:ascii="Arial" w:eastAsia="Times New Roman" w:hAnsi="Arial" w:cs="Arial"/>
                <w:color w:val="000000"/>
                <w:sz w:val="20"/>
                <w:szCs w:val="20"/>
                <w:lang w:eastAsia="en-IN"/>
              </w:rPr>
              <w:br/>
              <w:t>i. Internal escalation matrix with respect to non-compliances / defaults by TMs/CPs</w:t>
            </w:r>
            <w:r w:rsidRPr="003542F3">
              <w:rPr>
                <w:rFonts w:ascii="Arial" w:eastAsia="Times New Roman" w:hAnsi="Arial" w:cs="Arial"/>
                <w:color w:val="000000"/>
                <w:sz w:val="20"/>
                <w:szCs w:val="20"/>
                <w:lang w:eastAsia="en-IN"/>
              </w:rPr>
              <w:br/>
              <w:t>ii. Performance evaluation process of TMs/CPs registered with the CMs including its periodicity</w:t>
            </w:r>
            <w:r w:rsidRPr="003542F3">
              <w:rPr>
                <w:rFonts w:ascii="Arial" w:eastAsia="Times New Roman" w:hAnsi="Arial" w:cs="Arial"/>
                <w:color w:val="000000"/>
                <w:sz w:val="20"/>
                <w:szCs w:val="20"/>
                <w:lang w:eastAsia="en-IN"/>
              </w:rPr>
              <w:br/>
              <w:t>iii. Seeking data information from TMs/CPs in the event of repeated cases of shortfall in margins / margins on Consolidated Crystallized Obligation or governance issues</w:t>
            </w:r>
            <w:r w:rsidRPr="003542F3">
              <w:rPr>
                <w:rFonts w:ascii="Arial" w:eastAsia="Times New Roman" w:hAnsi="Arial" w:cs="Arial"/>
                <w:color w:val="000000"/>
                <w:sz w:val="20"/>
                <w:szCs w:val="20"/>
                <w:lang w:eastAsia="en-IN"/>
              </w:rPr>
              <w:br/>
              <w:t>iv. Procedures for segregation of TM proprietary and Client collaterals</w:t>
            </w:r>
            <w:r w:rsidRPr="003542F3">
              <w:rPr>
                <w:rFonts w:ascii="Arial" w:eastAsia="Times New Roman" w:hAnsi="Arial" w:cs="Arial"/>
                <w:color w:val="000000"/>
                <w:sz w:val="20"/>
                <w:szCs w:val="20"/>
                <w:lang w:eastAsia="en-IN"/>
              </w:rPr>
              <w:br/>
              <w:t>v. Inspection of TMs</w:t>
            </w:r>
            <w:r w:rsidRPr="003542F3">
              <w:rPr>
                <w:rFonts w:ascii="Arial" w:eastAsia="Times New Roman" w:hAnsi="Arial" w:cs="Arial"/>
                <w:color w:val="000000"/>
                <w:sz w:val="20"/>
                <w:szCs w:val="20"/>
                <w:lang w:eastAsia="en-IN"/>
              </w:rPr>
              <w:br/>
              <w:t>vi. Upper cap for acceptance of securities from a member and / or across all members in absolute terms and / or on an overall basis to avoid concentration risk</w:t>
            </w:r>
            <w:r w:rsidRPr="003542F3">
              <w:rPr>
                <w:rFonts w:ascii="Arial" w:eastAsia="Times New Roman" w:hAnsi="Arial" w:cs="Arial"/>
                <w:color w:val="000000"/>
                <w:sz w:val="20"/>
                <w:szCs w:val="20"/>
                <w:lang w:eastAsia="en-IN"/>
              </w:rPr>
              <w:br/>
              <w:t>vii. List of banks from which FDRs and BGs shall be accepted</w:t>
            </w:r>
            <w:r w:rsidRPr="003542F3">
              <w:rPr>
                <w:rFonts w:ascii="Arial" w:eastAsia="Times New Roman" w:hAnsi="Arial" w:cs="Arial"/>
                <w:color w:val="000000"/>
                <w:sz w:val="20"/>
                <w:szCs w:val="20"/>
                <w:lang w:eastAsia="en-IN"/>
              </w:rPr>
              <w:br/>
              <w:t>viii. List of securities that shall be accepted as collaterals</w:t>
            </w:r>
            <w:r w:rsidRPr="003542F3">
              <w:rPr>
                <w:rFonts w:ascii="Arial" w:eastAsia="Times New Roman" w:hAnsi="Arial" w:cs="Arial"/>
                <w:color w:val="000000"/>
                <w:sz w:val="20"/>
                <w:szCs w:val="20"/>
                <w:lang w:eastAsia="en-IN"/>
              </w:rPr>
              <w:br/>
              <w:t>ix. Components of cash collateral and non-cash collateral</w:t>
            </w:r>
            <w:r w:rsidRPr="003542F3">
              <w:rPr>
                <w:rFonts w:ascii="Arial" w:eastAsia="Times New Roman" w:hAnsi="Arial" w:cs="Arial"/>
                <w:color w:val="000000"/>
                <w:sz w:val="20"/>
                <w:szCs w:val="20"/>
                <w:lang w:eastAsia="en-IN"/>
              </w:rPr>
              <w:br/>
              <w:t>x. Ratio of Cash and Non-cash component of collateral</w:t>
            </w:r>
            <w:r w:rsidRPr="003542F3">
              <w:rPr>
                <w:rFonts w:ascii="Arial" w:eastAsia="Times New Roman" w:hAnsi="Arial" w:cs="Arial"/>
                <w:color w:val="000000"/>
                <w:sz w:val="20"/>
                <w:szCs w:val="20"/>
                <w:lang w:eastAsia="en-IN"/>
              </w:rPr>
              <w:br/>
              <w:t>xi. Haircut percentage for all types of collaterals other than Cash, FDRs and BGs.</w:t>
            </w:r>
            <w:r w:rsidRPr="003542F3">
              <w:rPr>
                <w:rFonts w:ascii="Arial" w:eastAsia="Times New Roman" w:hAnsi="Arial" w:cs="Arial"/>
                <w:color w:val="000000"/>
                <w:sz w:val="20"/>
                <w:szCs w:val="20"/>
                <w:lang w:eastAsia="en-IN"/>
              </w:rPr>
              <w:br/>
              <w:t xml:space="preserve">xii. Securities subject to a minimum of </w:t>
            </w:r>
            <w:r w:rsidRPr="003542F3">
              <w:rPr>
                <w:rFonts w:ascii="Arial" w:eastAsia="Times New Roman" w:hAnsi="Arial" w:cs="Arial"/>
                <w:color w:val="000000"/>
                <w:sz w:val="20"/>
                <w:szCs w:val="20"/>
                <w:lang w:eastAsia="en-IN"/>
              </w:rPr>
              <w:lastRenderedPageBreak/>
              <w:t>VAR and other collateral shall be subject to minimum haircut of 10%</w:t>
            </w:r>
            <w:r w:rsidRPr="003542F3">
              <w:rPr>
                <w:rFonts w:ascii="Arial" w:eastAsia="Times New Roman" w:hAnsi="Arial" w:cs="Arial"/>
                <w:color w:val="000000"/>
                <w:sz w:val="20"/>
                <w:szCs w:val="20"/>
                <w:lang w:eastAsia="en-IN"/>
              </w:rPr>
              <w:br/>
              <w:t>xiii. Timelines and threshold limits beyond which action such as square off of positions shall be undertaken by CM for non-payment of margins on Consolidated Crystallized Obligation by the TMs/CPs</w:t>
            </w:r>
          </w:p>
        </w:tc>
        <w:tc>
          <w:tcPr>
            <w:tcW w:w="664" w:type="pct"/>
            <w:tcBorders>
              <w:top w:val="nil"/>
              <w:left w:val="nil"/>
              <w:bottom w:val="single" w:sz="4" w:space="0" w:color="auto"/>
              <w:right w:val="single" w:sz="4" w:space="0" w:color="auto"/>
            </w:tcBorders>
            <w:shd w:val="clear" w:color="auto" w:fill="auto"/>
            <w:vAlign w:val="center"/>
            <w:hideMark/>
          </w:tcPr>
          <w:p w14:paraId="507C235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lastRenderedPageBreak/>
              <w:t>STCM and PCM</w:t>
            </w:r>
          </w:p>
        </w:tc>
        <w:tc>
          <w:tcPr>
            <w:tcW w:w="690" w:type="pct"/>
            <w:tcBorders>
              <w:top w:val="nil"/>
              <w:left w:val="nil"/>
              <w:bottom w:val="single" w:sz="4" w:space="0" w:color="auto"/>
              <w:right w:val="single" w:sz="4" w:space="0" w:color="auto"/>
            </w:tcBorders>
            <w:shd w:val="clear" w:color="auto" w:fill="auto"/>
            <w:vAlign w:val="center"/>
            <w:hideMark/>
          </w:tcPr>
          <w:p w14:paraId="45644E0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411DD0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62215C34"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9B3C101"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33</w:t>
            </w:r>
          </w:p>
        </w:tc>
        <w:tc>
          <w:tcPr>
            <w:tcW w:w="1681" w:type="pct"/>
            <w:tcBorders>
              <w:top w:val="nil"/>
              <w:left w:val="nil"/>
              <w:bottom w:val="single" w:sz="4" w:space="0" w:color="auto"/>
              <w:right w:val="single" w:sz="4" w:space="0" w:color="auto"/>
            </w:tcBorders>
            <w:shd w:val="clear" w:color="auto" w:fill="auto"/>
            <w:vAlign w:val="center"/>
            <w:hideMark/>
          </w:tcPr>
          <w:p w14:paraId="1000276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Confirmation on reporting of TM/CP level fund shortfall beyond Rs 5 lacs to CC as per the timelines prescribed by CC</w:t>
            </w:r>
          </w:p>
        </w:tc>
        <w:tc>
          <w:tcPr>
            <w:tcW w:w="664" w:type="pct"/>
            <w:tcBorders>
              <w:top w:val="nil"/>
              <w:left w:val="nil"/>
              <w:bottom w:val="single" w:sz="4" w:space="0" w:color="auto"/>
              <w:right w:val="single" w:sz="4" w:space="0" w:color="auto"/>
            </w:tcBorders>
            <w:shd w:val="clear" w:color="auto" w:fill="auto"/>
            <w:vAlign w:val="center"/>
            <w:hideMark/>
          </w:tcPr>
          <w:p w14:paraId="70F413F9"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5EAF1FD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F65094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299E96ED"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4DB235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34</w:t>
            </w:r>
          </w:p>
        </w:tc>
        <w:tc>
          <w:tcPr>
            <w:tcW w:w="1681" w:type="pct"/>
            <w:tcBorders>
              <w:top w:val="nil"/>
              <w:left w:val="nil"/>
              <w:bottom w:val="single" w:sz="4" w:space="0" w:color="auto"/>
              <w:right w:val="single" w:sz="4" w:space="0" w:color="auto"/>
            </w:tcBorders>
            <w:shd w:val="clear" w:color="auto" w:fill="auto"/>
            <w:vAlign w:val="center"/>
            <w:hideMark/>
          </w:tcPr>
          <w:p w14:paraId="55E68788"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Invocation of pledged securities by the Clearing Member was carried out only in respect of debit balance clients</w:t>
            </w:r>
          </w:p>
        </w:tc>
        <w:tc>
          <w:tcPr>
            <w:tcW w:w="664" w:type="pct"/>
            <w:tcBorders>
              <w:top w:val="nil"/>
              <w:left w:val="nil"/>
              <w:bottom w:val="single" w:sz="4" w:space="0" w:color="auto"/>
              <w:right w:val="single" w:sz="4" w:space="0" w:color="auto"/>
            </w:tcBorders>
            <w:shd w:val="clear" w:color="auto" w:fill="auto"/>
            <w:vAlign w:val="center"/>
            <w:hideMark/>
          </w:tcPr>
          <w:p w14:paraId="07EA5396"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4395598A"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398D7E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3542F3" w:rsidRPr="003542F3" w14:paraId="4F01360F"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410C0D0" w14:textId="772323EA" w:rsidR="003542F3" w:rsidRPr="003542F3" w:rsidRDefault="003542F3" w:rsidP="003542F3">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F.</w:t>
            </w:r>
          </w:p>
        </w:tc>
        <w:tc>
          <w:tcPr>
            <w:tcW w:w="1681" w:type="pct"/>
            <w:tcBorders>
              <w:top w:val="nil"/>
              <w:left w:val="nil"/>
              <w:bottom w:val="single" w:sz="4" w:space="0" w:color="auto"/>
              <w:right w:val="single" w:sz="4" w:space="0" w:color="auto"/>
            </w:tcBorders>
            <w:shd w:val="clear" w:color="auto" w:fill="auto"/>
            <w:vAlign w:val="center"/>
            <w:hideMark/>
          </w:tcPr>
          <w:p w14:paraId="51C1C6AD" w14:textId="77777777" w:rsidR="003542F3" w:rsidRPr="003542F3" w:rsidRDefault="003542F3" w:rsidP="003542F3">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OTHER COMPLIANCES</w:t>
            </w:r>
          </w:p>
        </w:tc>
        <w:tc>
          <w:tcPr>
            <w:tcW w:w="664" w:type="pct"/>
            <w:tcBorders>
              <w:top w:val="nil"/>
              <w:left w:val="nil"/>
              <w:bottom w:val="single" w:sz="4" w:space="0" w:color="auto"/>
              <w:right w:val="single" w:sz="4" w:space="0" w:color="auto"/>
            </w:tcBorders>
            <w:shd w:val="clear" w:color="auto" w:fill="auto"/>
            <w:vAlign w:val="center"/>
            <w:hideMark/>
          </w:tcPr>
          <w:p w14:paraId="11EFAFE5"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333B9DE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1124E210"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3542F3" w:rsidRPr="003542F3" w14:paraId="4AA7909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C83CAC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35</w:t>
            </w:r>
          </w:p>
        </w:tc>
        <w:tc>
          <w:tcPr>
            <w:tcW w:w="1681" w:type="pct"/>
            <w:tcBorders>
              <w:top w:val="nil"/>
              <w:left w:val="nil"/>
              <w:bottom w:val="single" w:sz="4" w:space="0" w:color="auto"/>
              <w:right w:val="single" w:sz="4" w:space="0" w:color="auto"/>
            </w:tcBorders>
            <w:shd w:val="clear" w:color="auto" w:fill="auto"/>
            <w:vAlign w:val="center"/>
            <w:hideMark/>
          </w:tcPr>
          <w:p w14:paraId="6706C1EE"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The Clearing member custodial participant agreements are executed in prescribed formats (wherever applicable). </w:t>
            </w:r>
          </w:p>
        </w:tc>
        <w:tc>
          <w:tcPr>
            <w:tcW w:w="664" w:type="pct"/>
            <w:tcBorders>
              <w:top w:val="nil"/>
              <w:left w:val="nil"/>
              <w:bottom w:val="single" w:sz="4" w:space="0" w:color="auto"/>
              <w:right w:val="single" w:sz="4" w:space="0" w:color="auto"/>
            </w:tcBorders>
            <w:shd w:val="clear" w:color="auto" w:fill="auto"/>
            <w:vAlign w:val="center"/>
            <w:hideMark/>
          </w:tcPr>
          <w:p w14:paraId="094AA3B4"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F76D482"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CC347D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CM-CP Agreements executed during the Audit period to be checked</w:t>
            </w:r>
          </w:p>
        </w:tc>
      </w:tr>
      <w:tr w:rsidR="003542F3" w:rsidRPr="003542F3" w14:paraId="134FD6CA"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962E55F"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36</w:t>
            </w:r>
          </w:p>
        </w:tc>
        <w:tc>
          <w:tcPr>
            <w:tcW w:w="1681" w:type="pct"/>
            <w:tcBorders>
              <w:top w:val="nil"/>
              <w:left w:val="nil"/>
              <w:bottom w:val="single" w:sz="4" w:space="0" w:color="auto"/>
              <w:right w:val="single" w:sz="4" w:space="0" w:color="auto"/>
            </w:tcBorders>
            <w:shd w:val="clear" w:color="auto" w:fill="auto"/>
            <w:vAlign w:val="center"/>
            <w:hideMark/>
          </w:tcPr>
          <w:p w14:paraId="0206324D"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the mandatory clauses have been included in CM - TM agreement (wherever applicable). Member has not executed trading member and clearing member agreement otherwise than in the prescribed format</w:t>
            </w:r>
          </w:p>
        </w:tc>
        <w:tc>
          <w:tcPr>
            <w:tcW w:w="664" w:type="pct"/>
            <w:tcBorders>
              <w:top w:val="nil"/>
              <w:left w:val="nil"/>
              <w:bottom w:val="single" w:sz="4" w:space="0" w:color="auto"/>
              <w:right w:val="single" w:sz="4" w:space="0" w:color="auto"/>
            </w:tcBorders>
            <w:shd w:val="clear" w:color="auto" w:fill="auto"/>
            <w:vAlign w:val="center"/>
            <w:hideMark/>
          </w:tcPr>
          <w:p w14:paraId="42C45DB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24BC945"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074FE6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CM-TM Agreements executed during the Audit period to be checked</w:t>
            </w:r>
          </w:p>
        </w:tc>
      </w:tr>
      <w:tr w:rsidR="003542F3" w:rsidRPr="003542F3" w14:paraId="300B861A"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8EFBE0C"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37</w:t>
            </w:r>
          </w:p>
        </w:tc>
        <w:tc>
          <w:tcPr>
            <w:tcW w:w="1681" w:type="pct"/>
            <w:tcBorders>
              <w:top w:val="nil"/>
              <w:left w:val="nil"/>
              <w:bottom w:val="single" w:sz="4" w:space="0" w:color="auto"/>
              <w:right w:val="single" w:sz="4" w:space="0" w:color="auto"/>
            </w:tcBorders>
            <w:shd w:val="clear" w:color="auto" w:fill="auto"/>
            <w:vAlign w:val="center"/>
            <w:hideMark/>
          </w:tcPr>
          <w:p w14:paraId="205ADB2E"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Compliance officer has obtained NISM-Series-III A/ prescribed certification. </w:t>
            </w:r>
          </w:p>
        </w:tc>
        <w:tc>
          <w:tcPr>
            <w:tcW w:w="664" w:type="pct"/>
            <w:tcBorders>
              <w:top w:val="nil"/>
              <w:left w:val="nil"/>
              <w:bottom w:val="single" w:sz="4" w:space="0" w:color="auto"/>
              <w:right w:val="single" w:sz="4" w:space="0" w:color="auto"/>
            </w:tcBorders>
            <w:shd w:val="clear" w:color="auto" w:fill="auto"/>
            <w:vAlign w:val="center"/>
            <w:hideMark/>
          </w:tcPr>
          <w:p w14:paraId="58974143" w14:textId="77777777" w:rsidR="003542F3" w:rsidRPr="003542F3" w:rsidRDefault="003542F3" w:rsidP="003542F3">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DAF811B"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10F8B384" w14:textId="77777777" w:rsidR="003542F3" w:rsidRPr="003542F3" w:rsidRDefault="003542F3" w:rsidP="003542F3">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310AEC8F"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524614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38</w:t>
            </w:r>
          </w:p>
        </w:tc>
        <w:tc>
          <w:tcPr>
            <w:tcW w:w="1681" w:type="pct"/>
            <w:tcBorders>
              <w:top w:val="nil"/>
              <w:left w:val="nil"/>
              <w:bottom w:val="single" w:sz="4" w:space="0" w:color="auto"/>
              <w:right w:val="single" w:sz="4" w:space="0" w:color="auto"/>
            </w:tcBorders>
            <w:shd w:val="clear" w:color="auto" w:fill="auto"/>
            <w:vAlign w:val="center"/>
            <w:hideMark/>
          </w:tcPr>
          <w:p w14:paraId="1FB56FE3"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complied with the Guidelines on Compliance Officers as issued in NCDEX/MEMBERSHIP-032/2022 dated November 29, 2022</w:t>
            </w:r>
          </w:p>
        </w:tc>
        <w:tc>
          <w:tcPr>
            <w:tcW w:w="664" w:type="pct"/>
            <w:tcBorders>
              <w:top w:val="nil"/>
              <w:left w:val="nil"/>
              <w:bottom w:val="single" w:sz="4" w:space="0" w:color="auto"/>
              <w:right w:val="single" w:sz="4" w:space="0" w:color="auto"/>
            </w:tcBorders>
            <w:shd w:val="clear" w:color="auto" w:fill="auto"/>
            <w:vAlign w:val="center"/>
            <w:hideMark/>
          </w:tcPr>
          <w:p w14:paraId="0E9211B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4BD4596" w14:textId="4F4D80DA"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C234B42" w14:textId="35BDB251"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734DA723"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B21EBA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39</w:t>
            </w:r>
          </w:p>
        </w:tc>
        <w:tc>
          <w:tcPr>
            <w:tcW w:w="1681" w:type="pct"/>
            <w:tcBorders>
              <w:top w:val="nil"/>
              <w:left w:val="nil"/>
              <w:bottom w:val="single" w:sz="4" w:space="0" w:color="auto"/>
              <w:right w:val="single" w:sz="4" w:space="0" w:color="auto"/>
            </w:tcBorders>
            <w:shd w:val="clear" w:color="auto" w:fill="auto"/>
            <w:vAlign w:val="center"/>
            <w:hideMark/>
          </w:tcPr>
          <w:p w14:paraId="2F5A97B3"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Clearing member has not outsourced their core business activities and compliance functions and adhered to the provisions of SEBI circular CIR/MIRSD/24/2011 dated 15th Dec 2011</w:t>
            </w:r>
          </w:p>
        </w:tc>
        <w:tc>
          <w:tcPr>
            <w:tcW w:w="664" w:type="pct"/>
            <w:tcBorders>
              <w:top w:val="nil"/>
              <w:left w:val="nil"/>
              <w:bottom w:val="single" w:sz="4" w:space="0" w:color="auto"/>
              <w:right w:val="single" w:sz="4" w:space="0" w:color="auto"/>
            </w:tcBorders>
            <w:shd w:val="clear" w:color="auto" w:fill="auto"/>
            <w:vAlign w:val="center"/>
            <w:hideMark/>
          </w:tcPr>
          <w:p w14:paraId="417A77A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24E3D4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E90C7CB"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Report if Member has not adhered to the provisions of SEBI circular CIR/MIRSD/24/2011 dated 15th Dec 2011 relating to outsourcing of their core business activities and compliance functions.</w:t>
            </w:r>
          </w:p>
        </w:tc>
      </w:tr>
      <w:tr w:rsidR="00C04549" w:rsidRPr="003542F3" w14:paraId="57D4CCC1"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511D53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40</w:t>
            </w:r>
          </w:p>
        </w:tc>
        <w:tc>
          <w:tcPr>
            <w:tcW w:w="1681" w:type="pct"/>
            <w:tcBorders>
              <w:top w:val="nil"/>
              <w:left w:val="nil"/>
              <w:bottom w:val="single" w:sz="4" w:space="0" w:color="auto"/>
              <w:right w:val="single" w:sz="4" w:space="0" w:color="auto"/>
            </w:tcBorders>
            <w:shd w:val="clear" w:color="auto" w:fill="auto"/>
            <w:vAlign w:val="center"/>
            <w:hideMark/>
          </w:tcPr>
          <w:p w14:paraId="182E51D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Prescribed policies are maintained (Risk Management Policy, PMLA Policy and SORM policy)</w:t>
            </w:r>
          </w:p>
        </w:tc>
        <w:tc>
          <w:tcPr>
            <w:tcW w:w="664" w:type="pct"/>
            <w:tcBorders>
              <w:top w:val="nil"/>
              <w:left w:val="nil"/>
              <w:bottom w:val="single" w:sz="4" w:space="0" w:color="auto"/>
              <w:right w:val="single" w:sz="4" w:space="0" w:color="auto"/>
            </w:tcBorders>
            <w:shd w:val="clear" w:color="auto" w:fill="auto"/>
            <w:vAlign w:val="center"/>
            <w:hideMark/>
          </w:tcPr>
          <w:p w14:paraId="44056B6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EF7571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11D5F2E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408810C2"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9BFE87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41</w:t>
            </w:r>
          </w:p>
        </w:tc>
        <w:tc>
          <w:tcPr>
            <w:tcW w:w="1681" w:type="pct"/>
            <w:tcBorders>
              <w:top w:val="nil"/>
              <w:left w:val="nil"/>
              <w:bottom w:val="single" w:sz="4" w:space="0" w:color="auto"/>
              <w:right w:val="single" w:sz="4" w:space="0" w:color="auto"/>
            </w:tcBorders>
            <w:shd w:val="clear" w:color="auto" w:fill="auto"/>
            <w:vAlign w:val="center"/>
            <w:hideMark/>
          </w:tcPr>
          <w:p w14:paraId="7246340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Exclusive e-mail id for any complaints created </w:t>
            </w:r>
          </w:p>
        </w:tc>
        <w:tc>
          <w:tcPr>
            <w:tcW w:w="664" w:type="pct"/>
            <w:tcBorders>
              <w:top w:val="nil"/>
              <w:left w:val="nil"/>
              <w:bottom w:val="single" w:sz="4" w:space="0" w:color="auto"/>
              <w:right w:val="single" w:sz="4" w:space="0" w:color="auto"/>
            </w:tcBorders>
            <w:shd w:val="clear" w:color="auto" w:fill="auto"/>
            <w:vAlign w:val="center"/>
            <w:hideMark/>
          </w:tcPr>
          <w:p w14:paraId="0A4815F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A7E870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30E240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5AD0BA3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EF7A68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42</w:t>
            </w:r>
          </w:p>
        </w:tc>
        <w:tc>
          <w:tcPr>
            <w:tcW w:w="1681" w:type="pct"/>
            <w:tcBorders>
              <w:top w:val="nil"/>
              <w:left w:val="nil"/>
              <w:bottom w:val="single" w:sz="4" w:space="0" w:color="auto"/>
              <w:right w:val="single" w:sz="4" w:space="0" w:color="auto"/>
            </w:tcBorders>
            <w:shd w:val="clear" w:color="auto" w:fill="auto"/>
            <w:vAlign w:val="center"/>
            <w:hideMark/>
          </w:tcPr>
          <w:p w14:paraId="3DBBC6BB"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Regular back up of data taken and maintained. </w:t>
            </w:r>
          </w:p>
        </w:tc>
        <w:tc>
          <w:tcPr>
            <w:tcW w:w="664" w:type="pct"/>
            <w:tcBorders>
              <w:top w:val="nil"/>
              <w:left w:val="nil"/>
              <w:bottom w:val="single" w:sz="4" w:space="0" w:color="auto"/>
              <w:right w:val="single" w:sz="4" w:space="0" w:color="auto"/>
            </w:tcBorders>
            <w:shd w:val="clear" w:color="auto" w:fill="auto"/>
            <w:vAlign w:val="center"/>
            <w:hideMark/>
          </w:tcPr>
          <w:p w14:paraId="67C3D74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F27062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724D372" w14:textId="59BCBF32"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6F5A11A3"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484CF4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43</w:t>
            </w:r>
          </w:p>
        </w:tc>
        <w:tc>
          <w:tcPr>
            <w:tcW w:w="1681" w:type="pct"/>
            <w:tcBorders>
              <w:top w:val="nil"/>
              <w:left w:val="nil"/>
              <w:bottom w:val="single" w:sz="4" w:space="0" w:color="auto"/>
              <w:right w:val="single" w:sz="4" w:space="0" w:color="auto"/>
            </w:tcBorders>
            <w:shd w:val="clear" w:color="auto" w:fill="auto"/>
            <w:vAlign w:val="center"/>
            <w:hideMark/>
          </w:tcPr>
          <w:p w14:paraId="4610EE4C"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Proper monitoring mechanism is in place to review the IT/Security related incidents detected and resolution of the same</w:t>
            </w:r>
          </w:p>
        </w:tc>
        <w:tc>
          <w:tcPr>
            <w:tcW w:w="664" w:type="pct"/>
            <w:tcBorders>
              <w:top w:val="nil"/>
              <w:left w:val="nil"/>
              <w:bottom w:val="single" w:sz="4" w:space="0" w:color="auto"/>
              <w:right w:val="single" w:sz="4" w:space="0" w:color="auto"/>
            </w:tcBorders>
            <w:shd w:val="clear" w:color="auto" w:fill="auto"/>
            <w:vAlign w:val="center"/>
            <w:hideMark/>
          </w:tcPr>
          <w:p w14:paraId="1292BE17"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293421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65B15A5"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Ascertain whether all the recommendations of system audit/cyber security audits have been closed during the audit period by taking corrective actions. Details of pending Recommendations to be provided separately</w:t>
            </w:r>
          </w:p>
        </w:tc>
      </w:tr>
      <w:tr w:rsidR="00C04549" w:rsidRPr="003542F3" w14:paraId="2F55CEE9"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D638AF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44</w:t>
            </w:r>
          </w:p>
        </w:tc>
        <w:tc>
          <w:tcPr>
            <w:tcW w:w="1681" w:type="pct"/>
            <w:tcBorders>
              <w:top w:val="nil"/>
              <w:left w:val="nil"/>
              <w:bottom w:val="single" w:sz="4" w:space="0" w:color="auto"/>
              <w:right w:val="single" w:sz="4" w:space="0" w:color="auto"/>
            </w:tcBorders>
            <w:shd w:val="clear" w:color="auto" w:fill="auto"/>
            <w:vAlign w:val="center"/>
            <w:hideMark/>
          </w:tcPr>
          <w:p w14:paraId="1ED7A743"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closed all existing demat accounts tagged as Client Collateral/ Client Margin Trading Securities/Client Beneficiary accounts in compliance with relevant SEBI Circular. If accounts are not closed due to reasons prescribed in NCCL/NCDEX circular, whether the member has suspended or frozen the demat account.</w:t>
            </w:r>
          </w:p>
        </w:tc>
        <w:tc>
          <w:tcPr>
            <w:tcW w:w="664" w:type="pct"/>
            <w:tcBorders>
              <w:top w:val="nil"/>
              <w:left w:val="nil"/>
              <w:bottom w:val="single" w:sz="4" w:space="0" w:color="auto"/>
              <w:right w:val="single" w:sz="4" w:space="0" w:color="auto"/>
            </w:tcBorders>
            <w:shd w:val="clear" w:color="auto" w:fill="auto"/>
            <w:vAlign w:val="center"/>
            <w:hideMark/>
          </w:tcPr>
          <w:p w14:paraId="5238745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AD497A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8CBD92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0AD99BF2"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9EF8728"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45</w:t>
            </w:r>
          </w:p>
        </w:tc>
        <w:tc>
          <w:tcPr>
            <w:tcW w:w="1681" w:type="pct"/>
            <w:tcBorders>
              <w:top w:val="nil"/>
              <w:left w:val="nil"/>
              <w:bottom w:val="single" w:sz="4" w:space="0" w:color="auto"/>
              <w:right w:val="single" w:sz="4" w:space="0" w:color="auto"/>
            </w:tcBorders>
            <w:shd w:val="clear" w:color="auto" w:fill="auto"/>
            <w:vAlign w:val="center"/>
            <w:hideMark/>
          </w:tcPr>
          <w:p w14:paraId="4520BA16"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accepted securities as margin obligation from clients only by way of margin pledge/re-pledge in the depository system by opening a separate demat account for accepting margin pledge which shall be tagged as “Client Securities Margin Pledge account" in accordance with SEBI circular no. SEBI/HO/MIRSD/DOP/CIR/P/2020/28 dated February 25,2020.</w:t>
            </w:r>
          </w:p>
        </w:tc>
        <w:tc>
          <w:tcPr>
            <w:tcW w:w="664" w:type="pct"/>
            <w:tcBorders>
              <w:top w:val="nil"/>
              <w:left w:val="nil"/>
              <w:bottom w:val="single" w:sz="4" w:space="0" w:color="auto"/>
              <w:right w:val="single" w:sz="4" w:space="0" w:color="auto"/>
            </w:tcBorders>
            <w:shd w:val="clear" w:color="auto" w:fill="auto"/>
            <w:vAlign w:val="center"/>
            <w:hideMark/>
          </w:tcPr>
          <w:p w14:paraId="138FAC7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9D74BB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38044B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78D7276A"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940368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46</w:t>
            </w:r>
          </w:p>
        </w:tc>
        <w:tc>
          <w:tcPr>
            <w:tcW w:w="1681" w:type="pct"/>
            <w:tcBorders>
              <w:top w:val="nil"/>
              <w:left w:val="nil"/>
              <w:bottom w:val="single" w:sz="4" w:space="0" w:color="auto"/>
              <w:right w:val="single" w:sz="4" w:space="0" w:color="auto"/>
            </w:tcBorders>
            <w:shd w:val="clear" w:color="auto" w:fill="auto"/>
            <w:vAlign w:val="center"/>
            <w:hideMark/>
          </w:tcPr>
          <w:p w14:paraId="0F77D76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ensured that all associated person as defined in SEBI Notification LAD-NRO/  GN/  2010-11/  21/  29390 dated December 10, 2010 have valid NISM series VII certification – (Securities Operations and Risk Management Certification Examination)</w:t>
            </w:r>
          </w:p>
        </w:tc>
        <w:tc>
          <w:tcPr>
            <w:tcW w:w="664" w:type="pct"/>
            <w:tcBorders>
              <w:top w:val="nil"/>
              <w:left w:val="nil"/>
              <w:bottom w:val="single" w:sz="4" w:space="0" w:color="auto"/>
              <w:right w:val="single" w:sz="4" w:space="0" w:color="auto"/>
            </w:tcBorders>
            <w:shd w:val="clear" w:color="auto" w:fill="auto"/>
            <w:vAlign w:val="center"/>
            <w:hideMark/>
          </w:tcPr>
          <w:p w14:paraId="038FF49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4A6509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B6DA81D" w14:textId="77777777" w:rsidR="00C04549" w:rsidRPr="003542F3" w:rsidRDefault="00C04549" w:rsidP="00C04549">
            <w:pPr>
              <w:spacing w:after="0" w:line="240" w:lineRule="auto"/>
              <w:rPr>
                <w:rFonts w:ascii="Arial" w:eastAsia="Times New Roman" w:hAnsi="Arial" w:cs="Arial"/>
                <w:sz w:val="20"/>
                <w:szCs w:val="20"/>
                <w:lang w:val="en-IN" w:eastAsia="en-IN"/>
              </w:rPr>
            </w:pPr>
            <w:r w:rsidRPr="003542F3">
              <w:rPr>
                <w:rFonts w:ascii="Arial" w:eastAsia="Times New Roman" w:hAnsi="Arial" w:cs="Arial"/>
                <w:sz w:val="20"/>
                <w:szCs w:val="20"/>
                <w:lang w:eastAsia="en-IN"/>
              </w:rPr>
              <w:t xml:space="preserve">To be checked for all associated person except for persons handling the basic clerical/elementary functions and whose work is supervised by NISM Series VII certified personnel. </w:t>
            </w:r>
          </w:p>
        </w:tc>
      </w:tr>
      <w:tr w:rsidR="00C04549" w:rsidRPr="003542F3" w14:paraId="1290FC1E"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110074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47</w:t>
            </w:r>
          </w:p>
        </w:tc>
        <w:tc>
          <w:tcPr>
            <w:tcW w:w="1681" w:type="pct"/>
            <w:tcBorders>
              <w:top w:val="nil"/>
              <w:left w:val="nil"/>
              <w:bottom w:val="single" w:sz="4" w:space="0" w:color="auto"/>
              <w:right w:val="single" w:sz="4" w:space="0" w:color="auto"/>
            </w:tcBorders>
            <w:shd w:val="clear" w:color="auto" w:fill="auto"/>
            <w:vAlign w:val="center"/>
            <w:hideMark/>
          </w:tcPr>
          <w:p w14:paraId="0EF39BF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Adverse comments in Statutory Audit Report of Corporate Member have been considered</w:t>
            </w:r>
          </w:p>
        </w:tc>
        <w:tc>
          <w:tcPr>
            <w:tcW w:w="664" w:type="pct"/>
            <w:tcBorders>
              <w:top w:val="nil"/>
              <w:left w:val="nil"/>
              <w:bottom w:val="single" w:sz="4" w:space="0" w:color="auto"/>
              <w:right w:val="single" w:sz="4" w:space="0" w:color="auto"/>
            </w:tcBorders>
            <w:shd w:val="clear" w:color="auto" w:fill="auto"/>
            <w:vAlign w:val="center"/>
            <w:hideMark/>
          </w:tcPr>
          <w:p w14:paraId="32B3FC1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DDC087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D3E1AA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Verify adverse Comments of Statutory Auditors</w:t>
            </w:r>
          </w:p>
        </w:tc>
      </w:tr>
      <w:tr w:rsidR="00C04549" w:rsidRPr="003542F3" w14:paraId="2C28049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F24CC0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48</w:t>
            </w:r>
          </w:p>
        </w:tc>
        <w:tc>
          <w:tcPr>
            <w:tcW w:w="1681" w:type="pct"/>
            <w:tcBorders>
              <w:top w:val="nil"/>
              <w:left w:val="nil"/>
              <w:bottom w:val="single" w:sz="4" w:space="0" w:color="auto"/>
              <w:right w:val="single" w:sz="4" w:space="0" w:color="auto"/>
            </w:tcBorders>
            <w:shd w:val="clear" w:color="auto" w:fill="auto"/>
            <w:vAlign w:val="center"/>
            <w:hideMark/>
          </w:tcPr>
          <w:p w14:paraId="21B36303"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submitted Undertaking/Authorisation to Exchange/ CC to access the information/statements pertaining to all bank accounts (maintained by members) from Banks</w:t>
            </w:r>
          </w:p>
        </w:tc>
        <w:tc>
          <w:tcPr>
            <w:tcW w:w="664" w:type="pct"/>
            <w:tcBorders>
              <w:top w:val="nil"/>
              <w:left w:val="nil"/>
              <w:bottom w:val="single" w:sz="4" w:space="0" w:color="auto"/>
              <w:right w:val="single" w:sz="4" w:space="0" w:color="auto"/>
            </w:tcBorders>
            <w:shd w:val="clear" w:color="auto" w:fill="auto"/>
            <w:vAlign w:val="center"/>
            <w:hideMark/>
          </w:tcPr>
          <w:p w14:paraId="79EA2E5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800F861" w14:textId="140E5E7E"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8457861" w14:textId="25E1EF51"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56B36A93"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6450F8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49</w:t>
            </w:r>
          </w:p>
        </w:tc>
        <w:tc>
          <w:tcPr>
            <w:tcW w:w="1681" w:type="pct"/>
            <w:tcBorders>
              <w:top w:val="nil"/>
              <w:left w:val="nil"/>
              <w:bottom w:val="single" w:sz="4" w:space="0" w:color="auto"/>
              <w:right w:val="single" w:sz="4" w:space="0" w:color="auto"/>
            </w:tcBorders>
            <w:shd w:val="clear" w:color="auto" w:fill="auto"/>
            <w:vAlign w:val="center"/>
            <w:hideMark/>
          </w:tcPr>
          <w:p w14:paraId="7270FBB0"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Segregation and Monitoring of Collateral at Client Level- Display of link of client collateral details on website in accordance with circular - NCCL/INSPECTION-003/2024 dated October 04, 2024. </w:t>
            </w:r>
          </w:p>
        </w:tc>
        <w:tc>
          <w:tcPr>
            <w:tcW w:w="664" w:type="pct"/>
            <w:tcBorders>
              <w:top w:val="nil"/>
              <w:left w:val="nil"/>
              <w:bottom w:val="single" w:sz="4" w:space="0" w:color="auto"/>
              <w:right w:val="single" w:sz="4" w:space="0" w:color="auto"/>
            </w:tcBorders>
            <w:shd w:val="clear" w:color="auto" w:fill="auto"/>
            <w:vAlign w:val="center"/>
            <w:hideMark/>
          </w:tcPr>
          <w:p w14:paraId="73748CB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59482DF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Audit Period </w:t>
            </w:r>
          </w:p>
        </w:tc>
        <w:tc>
          <w:tcPr>
            <w:tcW w:w="1647" w:type="pct"/>
            <w:tcBorders>
              <w:top w:val="nil"/>
              <w:left w:val="nil"/>
              <w:bottom w:val="single" w:sz="4" w:space="0" w:color="auto"/>
              <w:right w:val="single" w:sz="4" w:space="0" w:color="auto"/>
            </w:tcBorders>
            <w:shd w:val="clear" w:color="auto" w:fill="auto"/>
            <w:vAlign w:val="center"/>
            <w:hideMark/>
          </w:tcPr>
          <w:p w14:paraId="4118279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Whether the clearing member have displayed the link w.r.t. Client Collateral Details on their own website and have created awareness about the facility available to the clients for viewing of the collaterals. </w:t>
            </w:r>
          </w:p>
        </w:tc>
      </w:tr>
      <w:tr w:rsidR="00C04549" w:rsidRPr="003542F3" w14:paraId="30849CC4"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C0C7560" w14:textId="7B60F6F3" w:rsidR="00C04549" w:rsidRPr="003542F3" w:rsidRDefault="00C04549" w:rsidP="00C04549">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G.</w:t>
            </w:r>
          </w:p>
        </w:tc>
        <w:tc>
          <w:tcPr>
            <w:tcW w:w="1681" w:type="pct"/>
            <w:tcBorders>
              <w:top w:val="nil"/>
              <w:left w:val="nil"/>
              <w:bottom w:val="single" w:sz="4" w:space="0" w:color="auto"/>
              <w:right w:val="single" w:sz="4" w:space="0" w:color="auto"/>
            </w:tcBorders>
            <w:shd w:val="clear" w:color="auto" w:fill="auto"/>
            <w:vAlign w:val="center"/>
            <w:hideMark/>
          </w:tcPr>
          <w:p w14:paraId="44FFB3E6" w14:textId="77777777" w:rsidR="00C04549" w:rsidRPr="003542F3" w:rsidRDefault="00C04549" w:rsidP="00C04549">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NETWORTH REQUIREMENTS</w:t>
            </w:r>
          </w:p>
        </w:tc>
        <w:tc>
          <w:tcPr>
            <w:tcW w:w="664" w:type="pct"/>
            <w:tcBorders>
              <w:top w:val="nil"/>
              <w:left w:val="nil"/>
              <w:bottom w:val="single" w:sz="4" w:space="0" w:color="auto"/>
              <w:right w:val="single" w:sz="4" w:space="0" w:color="auto"/>
            </w:tcBorders>
            <w:shd w:val="clear" w:color="auto" w:fill="auto"/>
            <w:vAlign w:val="center"/>
            <w:hideMark/>
          </w:tcPr>
          <w:p w14:paraId="20A5581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02316CE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3D2ADD9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C04549" w:rsidRPr="003542F3" w14:paraId="23A3603E" w14:textId="77777777" w:rsidTr="00C04549">
        <w:trPr>
          <w:trHeight w:val="1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A7ED5A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50</w:t>
            </w:r>
          </w:p>
        </w:tc>
        <w:tc>
          <w:tcPr>
            <w:tcW w:w="1681" w:type="pct"/>
            <w:tcBorders>
              <w:top w:val="nil"/>
              <w:left w:val="nil"/>
              <w:bottom w:val="single" w:sz="4" w:space="0" w:color="auto"/>
              <w:right w:val="single" w:sz="4" w:space="0" w:color="auto"/>
            </w:tcBorders>
            <w:shd w:val="clear" w:color="auto" w:fill="auto"/>
            <w:vAlign w:val="center"/>
            <w:hideMark/>
          </w:tcPr>
          <w:p w14:paraId="1ED8632F"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Net worth is maintained as prescribed by the SEBI Gazette Notification No. SEBI/LAD-NRO/GN/2022/73 dated February 23, 2022 and submitted as per the CC prescribed norms.  </w:t>
            </w:r>
          </w:p>
        </w:tc>
        <w:tc>
          <w:tcPr>
            <w:tcW w:w="664" w:type="pct"/>
            <w:tcBorders>
              <w:top w:val="nil"/>
              <w:left w:val="nil"/>
              <w:bottom w:val="single" w:sz="4" w:space="0" w:color="auto"/>
              <w:right w:val="single" w:sz="4" w:space="0" w:color="auto"/>
            </w:tcBorders>
            <w:shd w:val="clear" w:color="auto" w:fill="auto"/>
            <w:vAlign w:val="center"/>
            <w:hideMark/>
          </w:tcPr>
          <w:p w14:paraId="6E61B5E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58D134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As on 31st December/30th June of every year as applicable in the Audit period</w:t>
            </w:r>
          </w:p>
        </w:tc>
        <w:tc>
          <w:tcPr>
            <w:tcW w:w="1647" w:type="pct"/>
            <w:tcBorders>
              <w:top w:val="nil"/>
              <w:left w:val="nil"/>
              <w:bottom w:val="single" w:sz="4" w:space="0" w:color="auto"/>
              <w:right w:val="single" w:sz="4" w:space="0" w:color="auto"/>
            </w:tcBorders>
            <w:shd w:val="clear" w:color="auto" w:fill="auto"/>
            <w:vAlign w:val="center"/>
            <w:hideMark/>
          </w:tcPr>
          <w:p w14:paraId="0028431D"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Analyze the Net worth requirement as specified, report if there is shortfall of Net worth/erosion of more than 50% of the Net worth. In case of shortfall of Net worth comment on reason and date of recoupment of shortfall and in case of erosion, comment on reason of erosion.</w:t>
            </w:r>
          </w:p>
        </w:tc>
      </w:tr>
      <w:tr w:rsidR="00C04549" w:rsidRPr="003542F3" w14:paraId="58B42E6E" w14:textId="77777777" w:rsidTr="00C04549">
        <w:trPr>
          <w:trHeight w:val="1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DAFE08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51</w:t>
            </w:r>
          </w:p>
        </w:tc>
        <w:tc>
          <w:tcPr>
            <w:tcW w:w="1681" w:type="pct"/>
            <w:tcBorders>
              <w:top w:val="nil"/>
              <w:left w:val="nil"/>
              <w:bottom w:val="single" w:sz="4" w:space="0" w:color="auto"/>
              <w:right w:val="single" w:sz="4" w:space="0" w:color="auto"/>
            </w:tcBorders>
            <w:shd w:val="clear" w:color="auto" w:fill="auto"/>
            <w:vAlign w:val="center"/>
            <w:hideMark/>
          </w:tcPr>
          <w:p w14:paraId="6F4641A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Last submitted net worth certificate to the CC is correctly submitted. In case of incorrect reporting of Net worth that is leading to shortfall, please specify in remarks. </w:t>
            </w:r>
          </w:p>
        </w:tc>
        <w:tc>
          <w:tcPr>
            <w:tcW w:w="664" w:type="pct"/>
            <w:tcBorders>
              <w:top w:val="nil"/>
              <w:left w:val="nil"/>
              <w:bottom w:val="single" w:sz="4" w:space="0" w:color="auto"/>
              <w:right w:val="single" w:sz="4" w:space="0" w:color="auto"/>
            </w:tcBorders>
            <w:shd w:val="clear" w:color="auto" w:fill="auto"/>
            <w:vAlign w:val="center"/>
            <w:hideMark/>
          </w:tcPr>
          <w:p w14:paraId="7551D25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EFEA39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69D62E1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Ascertain the correctness of the Net worth calculation and report if there is an erosion of more than 50% of the Net worth submitted to the CC along with the reasons of such erosion. In case of shortfall of Net worth comment on reason and date of recoupment of shortfall and in case of erosion, comment on reason of erosion.</w:t>
            </w:r>
          </w:p>
        </w:tc>
      </w:tr>
      <w:tr w:rsidR="00C04549" w:rsidRPr="003542F3" w14:paraId="44DC8A0A"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36623A1" w14:textId="7214D22A" w:rsidR="00C04549" w:rsidRPr="003542F3" w:rsidRDefault="00C04549" w:rsidP="00C04549">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H.</w:t>
            </w:r>
          </w:p>
        </w:tc>
        <w:tc>
          <w:tcPr>
            <w:tcW w:w="1681" w:type="pct"/>
            <w:tcBorders>
              <w:top w:val="nil"/>
              <w:left w:val="nil"/>
              <w:bottom w:val="single" w:sz="4" w:space="0" w:color="auto"/>
              <w:right w:val="single" w:sz="4" w:space="0" w:color="auto"/>
            </w:tcBorders>
            <w:shd w:val="clear" w:color="auto" w:fill="auto"/>
            <w:vAlign w:val="center"/>
            <w:hideMark/>
          </w:tcPr>
          <w:p w14:paraId="5071A005" w14:textId="77777777" w:rsidR="00C04549" w:rsidRPr="003542F3" w:rsidRDefault="00C04549" w:rsidP="00C04549">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BANK GUARANTEE (BG) MADE OUT OF CLIENT FUNDS</w:t>
            </w:r>
          </w:p>
        </w:tc>
        <w:tc>
          <w:tcPr>
            <w:tcW w:w="664" w:type="pct"/>
            <w:tcBorders>
              <w:top w:val="nil"/>
              <w:left w:val="nil"/>
              <w:bottom w:val="single" w:sz="4" w:space="0" w:color="auto"/>
              <w:right w:val="single" w:sz="4" w:space="0" w:color="auto"/>
            </w:tcBorders>
            <w:shd w:val="clear" w:color="auto" w:fill="auto"/>
            <w:vAlign w:val="center"/>
            <w:hideMark/>
          </w:tcPr>
          <w:p w14:paraId="3214B31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5F263F1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594EF367"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C04549" w:rsidRPr="003542F3" w14:paraId="3D2271DF"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BA8706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52</w:t>
            </w:r>
          </w:p>
        </w:tc>
        <w:tc>
          <w:tcPr>
            <w:tcW w:w="1681" w:type="pct"/>
            <w:tcBorders>
              <w:top w:val="nil"/>
              <w:left w:val="nil"/>
              <w:bottom w:val="single" w:sz="4" w:space="0" w:color="auto"/>
              <w:right w:val="single" w:sz="4" w:space="0" w:color="auto"/>
            </w:tcBorders>
            <w:shd w:val="clear" w:color="auto" w:fill="auto"/>
            <w:vAlign w:val="center"/>
            <w:hideMark/>
          </w:tcPr>
          <w:p w14:paraId="67EC35C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No new BGs have been made out of client funds on or after May 01, 2023. Refer to Annexure V for format of samples verified to be provided by auditor</w:t>
            </w:r>
          </w:p>
        </w:tc>
        <w:tc>
          <w:tcPr>
            <w:tcW w:w="664" w:type="pct"/>
            <w:tcBorders>
              <w:top w:val="nil"/>
              <w:left w:val="nil"/>
              <w:bottom w:val="single" w:sz="4" w:space="0" w:color="auto"/>
              <w:right w:val="single" w:sz="4" w:space="0" w:color="auto"/>
            </w:tcBorders>
            <w:shd w:val="clear" w:color="auto" w:fill="auto"/>
            <w:vAlign w:val="center"/>
            <w:hideMark/>
          </w:tcPr>
          <w:p w14:paraId="6BD79C0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98ACEF4" w14:textId="6B731B9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6D3248D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Verify all the BGs created after May 01, 2023 comply with SEBI circular dated April 25, 2023 </w:t>
            </w:r>
          </w:p>
        </w:tc>
      </w:tr>
      <w:tr w:rsidR="00C04549" w:rsidRPr="003542F3" w14:paraId="2FB63A1A"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D77505A" w14:textId="393EDC49" w:rsidR="00C04549" w:rsidRPr="003542F3" w:rsidRDefault="00C04549" w:rsidP="00C04549">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I.</w:t>
            </w:r>
          </w:p>
        </w:tc>
        <w:tc>
          <w:tcPr>
            <w:tcW w:w="1681" w:type="pct"/>
            <w:tcBorders>
              <w:top w:val="nil"/>
              <w:left w:val="nil"/>
              <w:bottom w:val="single" w:sz="4" w:space="0" w:color="auto"/>
              <w:right w:val="single" w:sz="4" w:space="0" w:color="auto"/>
            </w:tcBorders>
            <w:shd w:val="clear" w:color="auto" w:fill="auto"/>
            <w:vAlign w:val="center"/>
            <w:hideMark/>
          </w:tcPr>
          <w:p w14:paraId="15526C75" w14:textId="77777777" w:rsidR="00C04549" w:rsidRPr="003542F3" w:rsidRDefault="00C04549" w:rsidP="00C04549">
            <w:pPr>
              <w:spacing w:after="0" w:line="240" w:lineRule="auto"/>
              <w:jc w:val="both"/>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UPSTREAMING OF CLIENT FUNDS TO CLEARING CORPORATION</w:t>
            </w:r>
          </w:p>
        </w:tc>
        <w:tc>
          <w:tcPr>
            <w:tcW w:w="664" w:type="pct"/>
            <w:tcBorders>
              <w:top w:val="nil"/>
              <w:left w:val="nil"/>
              <w:bottom w:val="single" w:sz="4" w:space="0" w:color="auto"/>
              <w:right w:val="single" w:sz="4" w:space="0" w:color="auto"/>
            </w:tcBorders>
            <w:shd w:val="clear" w:color="auto" w:fill="auto"/>
            <w:vAlign w:val="center"/>
            <w:hideMark/>
          </w:tcPr>
          <w:p w14:paraId="16177D6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1E31A08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70E8D81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C04549" w:rsidRPr="003542F3" w14:paraId="0A4414E0"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CDFD22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53</w:t>
            </w:r>
          </w:p>
        </w:tc>
        <w:tc>
          <w:tcPr>
            <w:tcW w:w="1681" w:type="pct"/>
            <w:tcBorders>
              <w:top w:val="nil"/>
              <w:left w:val="nil"/>
              <w:bottom w:val="single" w:sz="4" w:space="0" w:color="auto"/>
              <w:right w:val="single" w:sz="4" w:space="0" w:color="auto"/>
            </w:tcBorders>
            <w:shd w:val="clear" w:color="auto" w:fill="auto"/>
            <w:vAlign w:val="center"/>
            <w:hideMark/>
          </w:tcPr>
          <w:p w14:paraId="318F2DA4"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the member has opened the designated bank account(s) maintained with the nomenclature “Name of the CM –TM prop account” to receive/pay proprietary funds from/to stock brokers</w:t>
            </w:r>
          </w:p>
        </w:tc>
        <w:tc>
          <w:tcPr>
            <w:tcW w:w="664" w:type="pct"/>
            <w:tcBorders>
              <w:top w:val="nil"/>
              <w:left w:val="nil"/>
              <w:bottom w:val="single" w:sz="4" w:space="0" w:color="auto"/>
              <w:right w:val="single" w:sz="4" w:space="0" w:color="auto"/>
            </w:tcBorders>
            <w:shd w:val="clear" w:color="auto" w:fill="auto"/>
            <w:vAlign w:val="center"/>
            <w:hideMark/>
          </w:tcPr>
          <w:p w14:paraId="5CD6BB07"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4D1DC3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1F9768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6EBD0E0E"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0E178F7"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54</w:t>
            </w:r>
          </w:p>
        </w:tc>
        <w:tc>
          <w:tcPr>
            <w:tcW w:w="1681" w:type="pct"/>
            <w:tcBorders>
              <w:top w:val="nil"/>
              <w:left w:val="nil"/>
              <w:bottom w:val="single" w:sz="4" w:space="0" w:color="auto"/>
              <w:right w:val="single" w:sz="4" w:space="0" w:color="auto"/>
            </w:tcBorders>
            <w:shd w:val="clear" w:color="auto" w:fill="auto"/>
            <w:vAlign w:val="center"/>
            <w:hideMark/>
          </w:tcPr>
          <w:p w14:paraId="14EA804A"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the member has opened the Up Streaming Client Nodal Bank Account (USCNBA) and the Down streaming Client Nodal Bank Account (DSCNBA)</w:t>
            </w:r>
          </w:p>
        </w:tc>
        <w:tc>
          <w:tcPr>
            <w:tcW w:w="664" w:type="pct"/>
            <w:tcBorders>
              <w:top w:val="nil"/>
              <w:left w:val="nil"/>
              <w:bottom w:val="single" w:sz="4" w:space="0" w:color="auto"/>
              <w:right w:val="single" w:sz="4" w:space="0" w:color="auto"/>
            </w:tcBorders>
            <w:shd w:val="clear" w:color="auto" w:fill="auto"/>
            <w:vAlign w:val="center"/>
            <w:hideMark/>
          </w:tcPr>
          <w:p w14:paraId="0348415F"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6008C9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E1F383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351B7778"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5D12FD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55</w:t>
            </w:r>
          </w:p>
        </w:tc>
        <w:tc>
          <w:tcPr>
            <w:tcW w:w="1681" w:type="pct"/>
            <w:tcBorders>
              <w:top w:val="nil"/>
              <w:left w:val="nil"/>
              <w:bottom w:val="single" w:sz="4" w:space="0" w:color="auto"/>
              <w:right w:val="single" w:sz="4" w:space="0" w:color="auto"/>
            </w:tcBorders>
            <w:shd w:val="clear" w:color="auto" w:fill="auto"/>
            <w:vAlign w:val="center"/>
            <w:hideMark/>
          </w:tcPr>
          <w:p w14:paraId="25241ACD"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Clear credit balances of all the clients in the book of account of the SBs/CMs at the end of a given day are placed with the CC in form of either cash, lien on Fixed Deposit Receipts (FDRs) created out of the clients’ funds, or pledge of units of MFOS,  created out of the clients’ funds</w:t>
            </w:r>
          </w:p>
        </w:tc>
        <w:tc>
          <w:tcPr>
            <w:tcW w:w="664" w:type="pct"/>
            <w:tcBorders>
              <w:top w:val="nil"/>
              <w:left w:val="nil"/>
              <w:bottom w:val="single" w:sz="4" w:space="0" w:color="auto"/>
              <w:right w:val="single" w:sz="4" w:space="0" w:color="auto"/>
            </w:tcBorders>
            <w:shd w:val="clear" w:color="auto" w:fill="auto"/>
            <w:vAlign w:val="center"/>
            <w:hideMark/>
          </w:tcPr>
          <w:p w14:paraId="7524F4F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5D5FD4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1D61342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31D67F9C"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9C2F74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56</w:t>
            </w:r>
          </w:p>
        </w:tc>
        <w:tc>
          <w:tcPr>
            <w:tcW w:w="1681" w:type="pct"/>
            <w:tcBorders>
              <w:top w:val="nil"/>
              <w:left w:val="nil"/>
              <w:bottom w:val="single" w:sz="4" w:space="0" w:color="auto"/>
              <w:right w:val="single" w:sz="4" w:space="0" w:color="auto"/>
            </w:tcBorders>
            <w:shd w:val="clear" w:color="auto" w:fill="auto"/>
            <w:vAlign w:val="center"/>
            <w:hideMark/>
          </w:tcPr>
          <w:p w14:paraId="47946F73"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ensured that any clear credit balance that could not be upstreamed to Clearing Corporations  due to receipt of funds from clients beyond cut-off time has remained in UNSCBA and upstreamed to Clearing Corporation on the next day</w:t>
            </w:r>
          </w:p>
        </w:tc>
        <w:tc>
          <w:tcPr>
            <w:tcW w:w="664" w:type="pct"/>
            <w:tcBorders>
              <w:top w:val="nil"/>
              <w:left w:val="nil"/>
              <w:bottom w:val="single" w:sz="4" w:space="0" w:color="auto"/>
              <w:right w:val="single" w:sz="4" w:space="0" w:color="auto"/>
            </w:tcBorders>
            <w:shd w:val="clear" w:color="auto" w:fill="auto"/>
            <w:vAlign w:val="center"/>
            <w:hideMark/>
          </w:tcPr>
          <w:p w14:paraId="24846BE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072CC16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B038A1E" w14:textId="7B9C34D8"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6DF45EBD" w14:textId="77777777" w:rsidTr="00C04549">
        <w:trPr>
          <w:trHeight w:val="10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CEA4DE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57</w:t>
            </w:r>
          </w:p>
        </w:tc>
        <w:tc>
          <w:tcPr>
            <w:tcW w:w="1681" w:type="pct"/>
            <w:tcBorders>
              <w:top w:val="nil"/>
              <w:left w:val="nil"/>
              <w:bottom w:val="single" w:sz="4" w:space="0" w:color="auto"/>
              <w:right w:val="single" w:sz="4" w:space="0" w:color="auto"/>
            </w:tcBorders>
            <w:shd w:val="clear" w:color="auto" w:fill="auto"/>
            <w:vAlign w:val="center"/>
            <w:hideMark/>
          </w:tcPr>
          <w:p w14:paraId="13BC572A" w14:textId="44C5D711"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In case any clients’ clear credit balances which are not placed by the SBs/CMs with the CC on account of justifiable reasons as enumerated in circular no. NCDEX/COMPLIANCE-010/2024 dated January 29, 2024 , the said clear credit balances are reported in the segregation file as “Retained with TM” or “Retained with CM” in the T+1 report</w:t>
            </w:r>
          </w:p>
        </w:tc>
        <w:tc>
          <w:tcPr>
            <w:tcW w:w="664" w:type="pct"/>
            <w:tcBorders>
              <w:top w:val="nil"/>
              <w:left w:val="nil"/>
              <w:bottom w:val="single" w:sz="4" w:space="0" w:color="auto"/>
              <w:right w:val="single" w:sz="4" w:space="0" w:color="auto"/>
            </w:tcBorders>
            <w:shd w:val="clear" w:color="auto" w:fill="auto"/>
            <w:vAlign w:val="center"/>
            <w:hideMark/>
          </w:tcPr>
          <w:p w14:paraId="3B68A67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38C73CF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E7B5EE5" w14:textId="60C447A5"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6623A5A9"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2E379E9"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58</w:t>
            </w:r>
          </w:p>
        </w:tc>
        <w:tc>
          <w:tcPr>
            <w:tcW w:w="1681" w:type="pct"/>
            <w:tcBorders>
              <w:top w:val="nil"/>
              <w:left w:val="nil"/>
              <w:bottom w:val="single" w:sz="4" w:space="0" w:color="auto"/>
              <w:right w:val="single" w:sz="4" w:space="0" w:color="auto"/>
            </w:tcBorders>
            <w:shd w:val="clear" w:color="auto" w:fill="auto"/>
            <w:vAlign w:val="center"/>
            <w:hideMark/>
          </w:tcPr>
          <w:p w14:paraId="7BC8C638"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Clients’ balances reported as retained with the SBs/CMs should be either available in USCNBA/DSCNBA/Settlement account of the SBs/CMs and/or in transit to the CC.</w:t>
            </w:r>
          </w:p>
        </w:tc>
        <w:tc>
          <w:tcPr>
            <w:tcW w:w="664" w:type="pct"/>
            <w:tcBorders>
              <w:top w:val="nil"/>
              <w:left w:val="nil"/>
              <w:bottom w:val="single" w:sz="4" w:space="0" w:color="auto"/>
              <w:right w:val="single" w:sz="4" w:space="0" w:color="auto"/>
            </w:tcBorders>
            <w:shd w:val="clear" w:color="auto" w:fill="auto"/>
            <w:vAlign w:val="center"/>
            <w:hideMark/>
          </w:tcPr>
          <w:p w14:paraId="606945B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41A50CA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3E2FD7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283CB9EB"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00972AF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59</w:t>
            </w:r>
          </w:p>
        </w:tc>
        <w:tc>
          <w:tcPr>
            <w:tcW w:w="1681" w:type="pct"/>
            <w:tcBorders>
              <w:top w:val="nil"/>
              <w:left w:val="nil"/>
              <w:bottom w:val="single" w:sz="4" w:space="0" w:color="auto"/>
              <w:right w:val="single" w:sz="4" w:space="0" w:color="auto"/>
            </w:tcBorders>
            <w:shd w:val="clear" w:color="auto" w:fill="auto"/>
            <w:vAlign w:val="center"/>
            <w:hideMark/>
          </w:tcPr>
          <w:p w14:paraId="42585F7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not transferred funds from client bank account/DSCNBA/USCNBA to any third party or  any other non-client account</w:t>
            </w:r>
          </w:p>
        </w:tc>
        <w:tc>
          <w:tcPr>
            <w:tcW w:w="664" w:type="pct"/>
            <w:tcBorders>
              <w:top w:val="nil"/>
              <w:left w:val="nil"/>
              <w:bottom w:val="single" w:sz="4" w:space="0" w:color="auto"/>
              <w:right w:val="single" w:sz="4" w:space="0" w:color="auto"/>
            </w:tcBorders>
            <w:shd w:val="clear" w:color="auto" w:fill="auto"/>
            <w:vAlign w:val="center"/>
            <w:hideMark/>
          </w:tcPr>
          <w:p w14:paraId="5353E76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4E100B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6E4F2A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client bank accounts to be checked for the audit period.</w:t>
            </w:r>
          </w:p>
        </w:tc>
      </w:tr>
      <w:tr w:rsidR="00C04549" w:rsidRPr="003542F3" w14:paraId="030CBD08" w14:textId="77777777" w:rsidTr="00C04549">
        <w:trPr>
          <w:trHeight w:val="3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CB5456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60</w:t>
            </w:r>
          </w:p>
        </w:tc>
        <w:tc>
          <w:tcPr>
            <w:tcW w:w="1681" w:type="pct"/>
            <w:tcBorders>
              <w:top w:val="nil"/>
              <w:left w:val="nil"/>
              <w:bottom w:val="single" w:sz="4" w:space="0" w:color="auto"/>
              <w:right w:val="single" w:sz="4" w:space="0" w:color="auto"/>
            </w:tcBorders>
            <w:shd w:val="clear" w:color="auto" w:fill="auto"/>
            <w:vAlign w:val="center"/>
            <w:hideMark/>
          </w:tcPr>
          <w:p w14:paraId="1133B8B7"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The following conditions are met if any FDRs has been created out of clients funds:</w:t>
            </w:r>
            <w:r w:rsidRPr="003542F3">
              <w:rPr>
                <w:rFonts w:ascii="Arial" w:eastAsia="Times New Roman" w:hAnsi="Arial" w:cs="Arial"/>
                <w:color w:val="000000"/>
                <w:sz w:val="20"/>
                <w:szCs w:val="20"/>
                <w:lang w:eastAsia="en-IN"/>
              </w:rPr>
              <w:br/>
              <w:t>i)The FDR shall be created only with banks which satisfy the CC’s exposure norms as specified by CCs/SEBI from time to time.</w:t>
            </w:r>
            <w:r w:rsidRPr="003542F3">
              <w:rPr>
                <w:rFonts w:ascii="Arial" w:eastAsia="Times New Roman" w:hAnsi="Arial" w:cs="Arial"/>
                <w:color w:val="000000"/>
                <w:sz w:val="20"/>
                <w:szCs w:val="20"/>
                <w:lang w:eastAsia="en-IN"/>
              </w:rPr>
              <w:br/>
              <w:t xml:space="preserve">ii. FDRs created only from ‘Up Streaming Client Nodal Bank Account (USCNBA)’ and has been lien-marked to one of the Clearing Corporations at all times. </w:t>
            </w:r>
            <w:r w:rsidRPr="003542F3">
              <w:rPr>
                <w:rFonts w:ascii="Arial" w:eastAsia="Times New Roman" w:hAnsi="Arial" w:cs="Arial"/>
                <w:color w:val="000000"/>
                <w:sz w:val="20"/>
                <w:szCs w:val="20"/>
                <w:lang w:eastAsia="en-IN"/>
              </w:rPr>
              <w:br/>
              <w:t xml:space="preserve">iii. The tenor of FDRs created after July 01, 2023 are not more than one year and one day; and the FDRs is pre-terminable on demand. </w:t>
            </w:r>
            <w:r w:rsidRPr="003542F3">
              <w:rPr>
                <w:rFonts w:ascii="Arial" w:eastAsia="Times New Roman" w:hAnsi="Arial" w:cs="Arial"/>
                <w:color w:val="000000"/>
                <w:sz w:val="20"/>
                <w:szCs w:val="20"/>
                <w:lang w:eastAsia="en-IN"/>
              </w:rPr>
              <w:br/>
              <w:t xml:space="preserve">iv. The principal amount of the FDR is remained protected throughout the tenure, even after accounting for all possible pre-termination costs. </w:t>
            </w:r>
            <w:r w:rsidRPr="003542F3">
              <w:rPr>
                <w:rFonts w:ascii="Arial" w:eastAsia="Times New Roman" w:hAnsi="Arial" w:cs="Arial"/>
                <w:color w:val="000000"/>
                <w:sz w:val="20"/>
                <w:szCs w:val="20"/>
                <w:lang w:eastAsia="en-IN"/>
              </w:rPr>
              <w:br/>
              <w:t xml:space="preserve">v. Member has not availed any funded or non-funded banking facilities based on FDRs created out of clients’ funds </w:t>
            </w:r>
            <w:r w:rsidRPr="003542F3">
              <w:rPr>
                <w:rFonts w:ascii="Arial" w:eastAsia="Times New Roman" w:hAnsi="Arial" w:cs="Arial"/>
                <w:color w:val="000000"/>
                <w:sz w:val="20"/>
                <w:szCs w:val="20"/>
                <w:lang w:eastAsia="en-IN"/>
              </w:rPr>
              <w:br/>
              <w:t>vi. Existing FDRs (created out of clients’ funds and having tenor of more than one-year) created prior to June 30, 2023 shall be allowed to be grandfathered till maturity.</w:t>
            </w:r>
          </w:p>
        </w:tc>
        <w:tc>
          <w:tcPr>
            <w:tcW w:w="664" w:type="pct"/>
            <w:tcBorders>
              <w:top w:val="nil"/>
              <w:left w:val="nil"/>
              <w:bottom w:val="single" w:sz="4" w:space="0" w:color="auto"/>
              <w:right w:val="single" w:sz="4" w:space="0" w:color="auto"/>
            </w:tcBorders>
            <w:shd w:val="clear" w:color="auto" w:fill="auto"/>
            <w:vAlign w:val="center"/>
            <w:hideMark/>
          </w:tcPr>
          <w:p w14:paraId="0841FE7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6CC586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86919B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Verification for the quarter January to March 2024 All Registered Members</w:t>
            </w:r>
          </w:p>
        </w:tc>
      </w:tr>
      <w:tr w:rsidR="00C04549" w:rsidRPr="003542F3" w14:paraId="32114AA8"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1ABC81D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61</w:t>
            </w:r>
          </w:p>
        </w:tc>
        <w:tc>
          <w:tcPr>
            <w:tcW w:w="1681" w:type="pct"/>
            <w:tcBorders>
              <w:top w:val="nil"/>
              <w:left w:val="nil"/>
              <w:bottom w:val="single" w:sz="4" w:space="0" w:color="auto"/>
              <w:right w:val="single" w:sz="4" w:space="0" w:color="auto"/>
            </w:tcBorders>
            <w:shd w:val="clear" w:color="auto" w:fill="auto"/>
            <w:vAlign w:val="center"/>
            <w:hideMark/>
          </w:tcPr>
          <w:p w14:paraId="4CCD2BAF"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Payment for own trades (PRO) are not made from client bank accounts/DSCNBA/USCNBA</w:t>
            </w:r>
          </w:p>
        </w:tc>
        <w:tc>
          <w:tcPr>
            <w:tcW w:w="664" w:type="pct"/>
            <w:tcBorders>
              <w:top w:val="nil"/>
              <w:left w:val="nil"/>
              <w:bottom w:val="single" w:sz="4" w:space="0" w:color="auto"/>
              <w:right w:val="single" w:sz="4" w:space="0" w:color="auto"/>
            </w:tcBorders>
            <w:shd w:val="clear" w:color="auto" w:fill="auto"/>
            <w:vAlign w:val="center"/>
            <w:hideMark/>
          </w:tcPr>
          <w:p w14:paraId="7611B39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0245C1D"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2DEE828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client bank accounts to be checked for the audit period.</w:t>
            </w:r>
          </w:p>
        </w:tc>
      </w:tr>
      <w:tr w:rsidR="00C04549" w:rsidRPr="003542F3" w14:paraId="3EA143B4"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C69E6E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62</w:t>
            </w:r>
          </w:p>
        </w:tc>
        <w:tc>
          <w:tcPr>
            <w:tcW w:w="1681" w:type="pct"/>
            <w:tcBorders>
              <w:top w:val="nil"/>
              <w:left w:val="nil"/>
              <w:bottom w:val="single" w:sz="4" w:space="0" w:color="auto"/>
              <w:right w:val="single" w:sz="4" w:space="0" w:color="auto"/>
            </w:tcBorders>
            <w:shd w:val="clear" w:color="auto" w:fill="auto"/>
            <w:vAlign w:val="center"/>
            <w:hideMark/>
          </w:tcPr>
          <w:p w14:paraId="65CCC80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not transferred funds to its Group companies/ Associates from client bank accounts/DSCNBA/USCNBA</w:t>
            </w:r>
          </w:p>
        </w:tc>
        <w:tc>
          <w:tcPr>
            <w:tcW w:w="664" w:type="pct"/>
            <w:tcBorders>
              <w:top w:val="nil"/>
              <w:left w:val="nil"/>
              <w:bottom w:val="single" w:sz="4" w:space="0" w:color="auto"/>
              <w:right w:val="single" w:sz="4" w:space="0" w:color="auto"/>
            </w:tcBorders>
            <w:shd w:val="clear" w:color="auto" w:fill="auto"/>
            <w:vAlign w:val="center"/>
            <w:hideMark/>
          </w:tcPr>
          <w:p w14:paraId="7C2345C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7039DAA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687464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client bank accounts to be checked for the audit period.</w:t>
            </w:r>
          </w:p>
        </w:tc>
      </w:tr>
      <w:tr w:rsidR="00C04549" w:rsidRPr="003542F3" w14:paraId="48ABB350"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BAF25B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63</w:t>
            </w:r>
          </w:p>
        </w:tc>
        <w:tc>
          <w:tcPr>
            <w:tcW w:w="1681" w:type="pct"/>
            <w:tcBorders>
              <w:top w:val="nil"/>
              <w:left w:val="nil"/>
              <w:bottom w:val="single" w:sz="4" w:space="0" w:color="auto"/>
              <w:right w:val="single" w:sz="4" w:space="0" w:color="auto"/>
            </w:tcBorders>
            <w:shd w:val="clear" w:color="auto" w:fill="auto"/>
            <w:vAlign w:val="center"/>
            <w:hideMark/>
          </w:tcPr>
          <w:p w14:paraId="194772D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not transferred funds from client bank account/DSCNBA/USCNBA to any third party or any other non-client account</w:t>
            </w:r>
          </w:p>
        </w:tc>
        <w:tc>
          <w:tcPr>
            <w:tcW w:w="664" w:type="pct"/>
            <w:tcBorders>
              <w:top w:val="nil"/>
              <w:left w:val="nil"/>
              <w:bottom w:val="single" w:sz="4" w:space="0" w:color="auto"/>
              <w:right w:val="single" w:sz="4" w:space="0" w:color="auto"/>
            </w:tcBorders>
            <w:shd w:val="clear" w:color="auto" w:fill="auto"/>
            <w:vAlign w:val="center"/>
            <w:hideMark/>
          </w:tcPr>
          <w:p w14:paraId="650E72C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76555A9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3810BB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client bank accounts to be checked for the audit period.</w:t>
            </w:r>
          </w:p>
        </w:tc>
      </w:tr>
      <w:tr w:rsidR="00C04549" w:rsidRPr="003542F3" w14:paraId="16C3A034"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E0AEE9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64</w:t>
            </w:r>
          </w:p>
        </w:tc>
        <w:tc>
          <w:tcPr>
            <w:tcW w:w="1681" w:type="pct"/>
            <w:tcBorders>
              <w:top w:val="nil"/>
              <w:left w:val="nil"/>
              <w:bottom w:val="single" w:sz="4" w:space="0" w:color="auto"/>
              <w:right w:val="single" w:sz="4" w:space="0" w:color="auto"/>
            </w:tcBorders>
            <w:shd w:val="clear" w:color="auto" w:fill="auto"/>
            <w:vAlign w:val="center"/>
            <w:hideMark/>
          </w:tcPr>
          <w:p w14:paraId="0470BBC1"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opened a separate Client Bank and set aside the funds and securities of Inactive/untraceable clients in such accounts and TM has upstreamed the untraceable/unclaimed clients funds to CC.</w:t>
            </w:r>
          </w:p>
        </w:tc>
        <w:tc>
          <w:tcPr>
            <w:tcW w:w="664" w:type="pct"/>
            <w:tcBorders>
              <w:top w:val="nil"/>
              <w:left w:val="nil"/>
              <w:bottom w:val="single" w:sz="4" w:space="0" w:color="auto"/>
              <w:right w:val="single" w:sz="4" w:space="0" w:color="auto"/>
            </w:tcBorders>
            <w:shd w:val="clear" w:color="auto" w:fill="auto"/>
            <w:vAlign w:val="center"/>
            <w:hideMark/>
          </w:tcPr>
          <w:p w14:paraId="73DF8FE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62A1C633"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733D6E7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45EE82C7"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9E59DC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65</w:t>
            </w:r>
          </w:p>
        </w:tc>
        <w:tc>
          <w:tcPr>
            <w:tcW w:w="1681" w:type="pct"/>
            <w:tcBorders>
              <w:top w:val="nil"/>
              <w:left w:val="nil"/>
              <w:bottom w:val="single" w:sz="4" w:space="0" w:color="auto"/>
              <w:right w:val="single" w:sz="4" w:space="0" w:color="auto"/>
            </w:tcBorders>
            <w:shd w:val="clear" w:color="auto" w:fill="auto"/>
            <w:vAlign w:val="center"/>
            <w:hideMark/>
          </w:tcPr>
          <w:p w14:paraId="28E24EDB"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Member has ensured that client funds have been invested only in such MFOS that deploy funds into risk-free government bond overnight repo markets </w:t>
            </w:r>
            <w:r w:rsidRPr="003542F3">
              <w:rPr>
                <w:rFonts w:ascii="Arial" w:eastAsia="Times New Roman" w:hAnsi="Arial" w:cs="Arial"/>
                <w:color w:val="000000"/>
                <w:sz w:val="20"/>
                <w:szCs w:val="20"/>
                <w:lang w:eastAsia="en-IN"/>
              </w:rPr>
              <w:lastRenderedPageBreak/>
              <w:t>and overnight Triparty Repo Dealing and Settlement (TREPS)</w:t>
            </w:r>
          </w:p>
        </w:tc>
        <w:tc>
          <w:tcPr>
            <w:tcW w:w="664" w:type="pct"/>
            <w:tcBorders>
              <w:top w:val="nil"/>
              <w:left w:val="nil"/>
              <w:bottom w:val="single" w:sz="4" w:space="0" w:color="auto"/>
              <w:right w:val="single" w:sz="4" w:space="0" w:color="auto"/>
            </w:tcBorders>
            <w:shd w:val="clear" w:color="auto" w:fill="auto"/>
            <w:vAlign w:val="center"/>
            <w:hideMark/>
          </w:tcPr>
          <w:p w14:paraId="0CF7FB8F"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lastRenderedPageBreak/>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07A41D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D3BB07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28FB0624"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A1BDE3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lastRenderedPageBreak/>
              <w:t>66</w:t>
            </w:r>
          </w:p>
        </w:tc>
        <w:tc>
          <w:tcPr>
            <w:tcW w:w="1681" w:type="pct"/>
            <w:tcBorders>
              <w:top w:val="nil"/>
              <w:left w:val="nil"/>
              <w:bottom w:val="single" w:sz="4" w:space="0" w:color="auto"/>
              <w:right w:val="single" w:sz="4" w:space="0" w:color="auto"/>
            </w:tcBorders>
            <w:shd w:val="clear" w:color="auto" w:fill="auto"/>
            <w:vAlign w:val="center"/>
            <w:hideMark/>
          </w:tcPr>
          <w:p w14:paraId="4A27C5BB"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maintained a dedicated demat account to as “Client Nodal MFOS Account” for subscription/ redemption of MFOS units in case they are investing clients funds in MFOS</w:t>
            </w:r>
          </w:p>
        </w:tc>
        <w:tc>
          <w:tcPr>
            <w:tcW w:w="664" w:type="pct"/>
            <w:tcBorders>
              <w:top w:val="nil"/>
              <w:left w:val="nil"/>
              <w:bottom w:val="single" w:sz="4" w:space="0" w:color="auto"/>
              <w:right w:val="single" w:sz="4" w:space="0" w:color="auto"/>
            </w:tcBorders>
            <w:shd w:val="clear" w:color="auto" w:fill="auto"/>
            <w:vAlign w:val="center"/>
            <w:hideMark/>
          </w:tcPr>
          <w:p w14:paraId="72D97F28"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CF014C6"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159B17E"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5B3AAA7B"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12764F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67</w:t>
            </w:r>
          </w:p>
        </w:tc>
        <w:tc>
          <w:tcPr>
            <w:tcW w:w="1681" w:type="pct"/>
            <w:tcBorders>
              <w:top w:val="nil"/>
              <w:left w:val="nil"/>
              <w:bottom w:val="single" w:sz="4" w:space="0" w:color="auto"/>
              <w:right w:val="single" w:sz="4" w:space="0" w:color="auto"/>
            </w:tcBorders>
            <w:shd w:val="clear" w:color="auto" w:fill="auto"/>
            <w:vAlign w:val="center"/>
            <w:hideMark/>
          </w:tcPr>
          <w:p w14:paraId="1F5992C1"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complied with the provisions of SEBI circular SEBI/HO/MIRSD/MIRSD-PoD-1/P/CIR/2023/187 dated December 12, 2023 with respect to bank guarantees.</w:t>
            </w:r>
          </w:p>
        </w:tc>
        <w:tc>
          <w:tcPr>
            <w:tcW w:w="664" w:type="pct"/>
            <w:tcBorders>
              <w:top w:val="nil"/>
              <w:left w:val="nil"/>
              <w:bottom w:val="single" w:sz="4" w:space="0" w:color="auto"/>
              <w:right w:val="single" w:sz="4" w:space="0" w:color="auto"/>
            </w:tcBorders>
            <w:shd w:val="clear" w:color="auto" w:fill="auto"/>
            <w:vAlign w:val="center"/>
            <w:hideMark/>
          </w:tcPr>
          <w:p w14:paraId="4A5FB7F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5521BEB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0A9D9A71"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50B4C717" w14:textId="77777777" w:rsidTr="00C04549">
        <w:trPr>
          <w:trHeight w:val="29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4AB0AD2" w14:textId="3B220920" w:rsidR="00C04549" w:rsidRPr="003542F3" w:rsidRDefault="00C04549" w:rsidP="00C04549">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J.</w:t>
            </w:r>
          </w:p>
        </w:tc>
        <w:tc>
          <w:tcPr>
            <w:tcW w:w="1681" w:type="pct"/>
            <w:tcBorders>
              <w:top w:val="nil"/>
              <w:left w:val="nil"/>
              <w:bottom w:val="single" w:sz="4" w:space="0" w:color="auto"/>
              <w:right w:val="single" w:sz="4" w:space="0" w:color="auto"/>
            </w:tcBorders>
            <w:shd w:val="clear" w:color="auto" w:fill="auto"/>
            <w:vAlign w:val="center"/>
            <w:hideMark/>
          </w:tcPr>
          <w:p w14:paraId="60CB07D5" w14:textId="77777777" w:rsidR="00C04549" w:rsidRPr="003542F3" w:rsidRDefault="00C04549" w:rsidP="00C04549">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COMPLIANCE WITH RESPECT TO SOP UNDERTAKING</w:t>
            </w:r>
          </w:p>
        </w:tc>
        <w:tc>
          <w:tcPr>
            <w:tcW w:w="664" w:type="pct"/>
            <w:tcBorders>
              <w:top w:val="nil"/>
              <w:left w:val="nil"/>
              <w:bottom w:val="single" w:sz="4" w:space="0" w:color="auto"/>
              <w:right w:val="single" w:sz="4" w:space="0" w:color="auto"/>
            </w:tcBorders>
            <w:shd w:val="clear" w:color="auto" w:fill="auto"/>
            <w:vAlign w:val="center"/>
            <w:hideMark/>
          </w:tcPr>
          <w:p w14:paraId="67F865CC"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3F6620C5"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4C04015A"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C04549" w:rsidRPr="003542F3" w14:paraId="4DACC8F0" w14:textId="77777777" w:rsidTr="00C04549">
        <w:trPr>
          <w:trHeight w:val="12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2469EB0"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68</w:t>
            </w:r>
          </w:p>
        </w:tc>
        <w:tc>
          <w:tcPr>
            <w:tcW w:w="1681" w:type="pct"/>
            <w:tcBorders>
              <w:top w:val="nil"/>
              <w:left w:val="nil"/>
              <w:bottom w:val="single" w:sz="4" w:space="0" w:color="auto"/>
              <w:right w:val="single" w:sz="4" w:space="0" w:color="auto"/>
            </w:tcBorders>
            <w:shd w:val="clear" w:color="auto" w:fill="auto"/>
            <w:vAlign w:val="center"/>
            <w:hideMark/>
          </w:tcPr>
          <w:p w14:paraId="2A429DE8"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Clearing Member has submitted Undertaking cum Indemnity bond to CC empowering the CC to freeze the bank accounts of the Clearing Member in compliance to SEBI circular SEBI/HO/MIRSD/DPIEA/CIR/P/2020/115 dated July 01, 2020, on the subject "Standard Operating Procedure in the cases of Trading Member /Clearing Member leading to default"</w:t>
            </w:r>
          </w:p>
        </w:tc>
        <w:tc>
          <w:tcPr>
            <w:tcW w:w="664" w:type="pct"/>
            <w:tcBorders>
              <w:top w:val="nil"/>
              <w:left w:val="nil"/>
              <w:bottom w:val="single" w:sz="4" w:space="0" w:color="auto"/>
              <w:right w:val="single" w:sz="4" w:space="0" w:color="auto"/>
            </w:tcBorders>
            <w:shd w:val="clear" w:color="auto" w:fill="auto"/>
            <w:vAlign w:val="center"/>
            <w:hideMark/>
          </w:tcPr>
          <w:p w14:paraId="58B08A3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07B293DB"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68DEFD6A" w14:textId="3C37B7BC"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C04549" w:rsidRPr="003542F3" w14:paraId="290B7159"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78A57B92"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69</w:t>
            </w:r>
          </w:p>
        </w:tc>
        <w:tc>
          <w:tcPr>
            <w:tcW w:w="1681" w:type="pct"/>
            <w:tcBorders>
              <w:top w:val="nil"/>
              <w:left w:val="nil"/>
              <w:bottom w:val="single" w:sz="4" w:space="0" w:color="auto"/>
              <w:right w:val="single" w:sz="4" w:space="0" w:color="auto"/>
            </w:tcBorders>
            <w:shd w:val="clear" w:color="auto" w:fill="auto"/>
            <w:vAlign w:val="center"/>
            <w:hideMark/>
          </w:tcPr>
          <w:p w14:paraId="7F828ED0"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xml:space="preserve">Clearing member has submitted the undertaking for any new bank accounts opened within 7 days of opening the bank account </w:t>
            </w:r>
          </w:p>
        </w:tc>
        <w:tc>
          <w:tcPr>
            <w:tcW w:w="664" w:type="pct"/>
            <w:tcBorders>
              <w:top w:val="nil"/>
              <w:left w:val="nil"/>
              <w:bottom w:val="single" w:sz="4" w:space="0" w:color="auto"/>
              <w:right w:val="single" w:sz="4" w:space="0" w:color="auto"/>
            </w:tcBorders>
            <w:shd w:val="clear" w:color="auto" w:fill="auto"/>
            <w:vAlign w:val="center"/>
            <w:hideMark/>
          </w:tcPr>
          <w:p w14:paraId="4EADCEA7" w14:textId="77777777" w:rsidR="00C04549" w:rsidRPr="003542F3" w:rsidRDefault="00C04549" w:rsidP="00C04549">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hideMark/>
          </w:tcPr>
          <w:p w14:paraId="7CDDB7B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60DD68D4" w14:textId="77777777" w:rsidR="00C04549" w:rsidRPr="003542F3" w:rsidRDefault="00C04549" w:rsidP="00C04549">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All bank accounts to be verified</w:t>
            </w:r>
          </w:p>
        </w:tc>
      </w:tr>
      <w:tr w:rsidR="0060714E" w:rsidRPr="003542F3" w14:paraId="2C9FA112" w14:textId="77777777" w:rsidTr="00115578">
        <w:trPr>
          <w:trHeight w:val="500"/>
        </w:trPr>
        <w:tc>
          <w:tcPr>
            <w:tcW w:w="317" w:type="pct"/>
            <w:tcBorders>
              <w:top w:val="nil"/>
              <w:left w:val="single" w:sz="4" w:space="0" w:color="auto"/>
              <w:bottom w:val="single" w:sz="4" w:space="0" w:color="auto"/>
              <w:right w:val="single" w:sz="4" w:space="0" w:color="auto"/>
            </w:tcBorders>
            <w:shd w:val="clear" w:color="auto" w:fill="auto"/>
            <w:vAlign w:val="center"/>
          </w:tcPr>
          <w:p w14:paraId="05758D59" w14:textId="23D9B406" w:rsidR="0060714E" w:rsidRPr="003542F3" w:rsidRDefault="0060714E" w:rsidP="0060714E">
            <w:pPr>
              <w:spacing w:after="0" w:line="240" w:lineRule="auto"/>
              <w:rPr>
                <w:rFonts w:ascii="Arial" w:eastAsia="Times New Roman" w:hAnsi="Arial" w:cs="Arial"/>
                <w:color w:val="000000"/>
                <w:sz w:val="20"/>
                <w:szCs w:val="20"/>
                <w:lang w:eastAsia="en-IN"/>
              </w:rPr>
            </w:pPr>
            <w:r>
              <w:rPr>
                <w:rFonts w:ascii="Arial" w:eastAsia="Times New Roman" w:hAnsi="Arial" w:cs="Arial"/>
                <w:color w:val="000000"/>
                <w:sz w:val="20"/>
                <w:szCs w:val="20"/>
                <w:lang w:eastAsia="en-IN"/>
              </w:rPr>
              <w:t>70</w:t>
            </w:r>
          </w:p>
        </w:tc>
        <w:tc>
          <w:tcPr>
            <w:tcW w:w="1681" w:type="pct"/>
            <w:tcBorders>
              <w:top w:val="nil"/>
              <w:left w:val="nil"/>
              <w:bottom w:val="single" w:sz="4" w:space="0" w:color="auto"/>
              <w:right w:val="single" w:sz="4" w:space="0" w:color="auto"/>
            </w:tcBorders>
            <w:shd w:val="clear" w:color="auto" w:fill="auto"/>
          </w:tcPr>
          <w:p w14:paraId="09BC4A9B" w14:textId="119BA4FD" w:rsidR="0060714E" w:rsidRPr="003542F3" w:rsidRDefault="0060714E" w:rsidP="0060714E">
            <w:pPr>
              <w:spacing w:after="0" w:line="240" w:lineRule="auto"/>
              <w:jc w:val="both"/>
              <w:rPr>
                <w:rFonts w:ascii="Arial" w:eastAsia="Times New Roman" w:hAnsi="Arial" w:cs="Arial"/>
                <w:color w:val="000000"/>
                <w:sz w:val="20"/>
                <w:szCs w:val="20"/>
                <w:lang w:eastAsia="en-IN"/>
              </w:rPr>
            </w:pPr>
            <w:r w:rsidRPr="0060714E">
              <w:rPr>
                <w:rFonts w:ascii="Arial" w:eastAsia="Times New Roman" w:hAnsi="Arial" w:cs="Arial"/>
                <w:color w:val="000000"/>
                <w:sz w:val="20"/>
                <w:szCs w:val="20"/>
                <w:lang w:eastAsia="en-IN"/>
              </w:rPr>
              <w:t>Clearing member has submitted all bank account details</w:t>
            </w:r>
            <w:r>
              <w:rPr>
                <w:rFonts w:ascii="Arial" w:eastAsia="Times New Roman" w:hAnsi="Arial" w:cs="Arial"/>
                <w:color w:val="000000"/>
                <w:sz w:val="20"/>
                <w:szCs w:val="20"/>
                <w:lang w:eastAsia="en-IN"/>
              </w:rPr>
              <w:t>.</w:t>
            </w:r>
          </w:p>
        </w:tc>
        <w:tc>
          <w:tcPr>
            <w:tcW w:w="664" w:type="pct"/>
            <w:tcBorders>
              <w:top w:val="nil"/>
              <w:left w:val="nil"/>
              <w:bottom w:val="single" w:sz="4" w:space="0" w:color="auto"/>
              <w:right w:val="single" w:sz="4" w:space="0" w:color="auto"/>
            </w:tcBorders>
            <w:shd w:val="clear" w:color="auto" w:fill="auto"/>
            <w:vAlign w:val="center"/>
          </w:tcPr>
          <w:p w14:paraId="1786C36D" w14:textId="35725E7C"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STCM and PCM</w:t>
            </w:r>
          </w:p>
        </w:tc>
        <w:tc>
          <w:tcPr>
            <w:tcW w:w="690" w:type="pct"/>
            <w:tcBorders>
              <w:top w:val="nil"/>
              <w:left w:val="nil"/>
              <w:bottom w:val="single" w:sz="4" w:space="0" w:color="auto"/>
              <w:right w:val="single" w:sz="4" w:space="0" w:color="auto"/>
            </w:tcBorders>
            <w:shd w:val="clear" w:color="auto" w:fill="auto"/>
            <w:vAlign w:val="center"/>
          </w:tcPr>
          <w:p w14:paraId="2803D908" w14:textId="7F9F782F" w:rsidR="0060714E" w:rsidRPr="003542F3" w:rsidRDefault="0060714E" w:rsidP="0060714E">
            <w:pPr>
              <w:spacing w:after="0" w:line="240" w:lineRule="auto"/>
              <w:rPr>
                <w:rFonts w:ascii="Arial" w:eastAsia="Times New Roman" w:hAnsi="Arial" w:cs="Arial"/>
                <w:color w:val="000000"/>
                <w:sz w:val="20"/>
                <w:szCs w:val="20"/>
                <w:lang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tcPr>
          <w:p w14:paraId="36A9D6BB" w14:textId="23D2ABAC" w:rsidR="0060714E" w:rsidRPr="003542F3" w:rsidRDefault="0060714E" w:rsidP="0060714E">
            <w:pPr>
              <w:spacing w:after="0" w:line="240" w:lineRule="auto"/>
              <w:rPr>
                <w:rFonts w:ascii="Arial" w:eastAsia="Times New Roman" w:hAnsi="Arial" w:cs="Arial"/>
                <w:color w:val="000000"/>
                <w:sz w:val="20"/>
                <w:szCs w:val="20"/>
                <w:lang w:eastAsia="en-IN"/>
              </w:rPr>
            </w:pPr>
            <w:r w:rsidRPr="003542F3">
              <w:rPr>
                <w:rFonts w:ascii="Arial" w:eastAsia="Times New Roman" w:hAnsi="Arial" w:cs="Arial"/>
                <w:color w:val="000000"/>
                <w:sz w:val="20"/>
                <w:szCs w:val="20"/>
                <w:lang w:eastAsia="en-IN"/>
              </w:rPr>
              <w:t>All bank accounts to be verified</w:t>
            </w:r>
          </w:p>
        </w:tc>
      </w:tr>
      <w:tr w:rsidR="0060714E" w:rsidRPr="003542F3" w14:paraId="34A21942" w14:textId="77777777" w:rsidTr="00C04549">
        <w:trPr>
          <w:trHeight w:val="52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7081F20" w14:textId="438F74AA" w:rsidR="0060714E" w:rsidRPr="003542F3" w:rsidRDefault="0060714E" w:rsidP="0060714E">
            <w:pPr>
              <w:spacing w:after="0" w:line="240" w:lineRule="auto"/>
              <w:jc w:val="center"/>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K.</w:t>
            </w:r>
          </w:p>
        </w:tc>
        <w:tc>
          <w:tcPr>
            <w:tcW w:w="1681" w:type="pct"/>
            <w:tcBorders>
              <w:top w:val="nil"/>
              <w:left w:val="nil"/>
              <w:bottom w:val="single" w:sz="4" w:space="0" w:color="auto"/>
              <w:right w:val="single" w:sz="4" w:space="0" w:color="auto"/>
            </w:tcBorders>
            <w:shd w:val="clear" w:color="auto" w:fill="auto"/>
            <w:vAlign w:val="center"/>
            <w:hideMark/>
          </w:tcPr>
          <w:p w14:paraId="4D9EE684" w14:textId="77777777" w:rsidR="0060714E" w:rsidRPr="003542F3" w:rsidRDefault="0060714E" w:rsidP="0060714E">
            <w:pPr>
              <w:spacing w:after="0" w:line="240" w:lineRule="auto"/>
              <w:rPr>
                <w:rFonts w:ascii="Arial" w:eastAsia="Times New Roman" w:hAnsi="Arial" w:cs="Arial"/>
                <w:b/>
                <w:bCs/>
                <w:color w:val="000000"/>
                <w:sz w:val="20"/>
                <w:szCs w:val="20"/>
                <w:lang w:val="en-IN" w:eastAsia="en-IN"/>
              </w:rPr>
            </w:pPr>
            <w:r w:rsidRPr="003542F3">
              <w:rPr>
                <w:rFonts w:ascii="Arial" w:eastAsia="Times New Roman" w:hAnsi="Arial" w:cs="Arial"/>
                <w:b/>
                <w:bCs/>
                <w:color w:val="000000"/>
                <w:sz w:val="20"/>
                <w:szCs w:val="20"/>
                <w:lang w:eastAsia="en-IN"/>
              </w:rPr>
              <w:t>COMPLIANCE STATUS OF LAST INSPECTION CARRIED OUT BY SEBI/ CC/ INTERNAL AUDITOR</w:t>
            </w:r>
          </w:p>
        </w:tc>
        <w:tc>
          <w:tcPr>
            <w:tcW w:w="664" w:type="pct"/>
            <w:tcBorders>
              <w:top w:val="nil"/>
              <w:left w:val="nil"/>
              <w:bottom w:val="single" w:sz="4" w:space="0" w:color="auto"/>
              <w:right w:val="single" w:sz="4" w:space="0" w:color="auto"/>
            </w:tcBorders>
            <w:shd w:val="clear" w:color="auto" w:fill="auto"/>
            <w:vAlign w:val="center"/>
            <w:hideMark/>
          </w:tcPr>
          <w:p w14:paraId="63FE3243"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690" w:type="pct"/>
            <w:tcBorders>
              <w:top w:val="nil"/>
              <w:left w:val="nil"/>
              <w:bottom w:val="single" w:sz="4" w:space="0" w:color="auto"/>
              <w:right w:val="single" w:sz="4" w:space="0" w:color="auto"/>
            </w:tcBorders>
            <w:shd w:val="clear" w:color="auto" w:fill="auto"/>
            <w:vAlign w:val="center"/>
            <w:hideMark/>
          </w:tcPr>
          <w:p w14:paraId="29DB2C27"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c>
          <w:tcPr>
            <w:tcW w:w="1647" w:type="pct"/>
            <w:tcBorders>
              <w:top w:val="nil"/>
              <w:left w:val="nil"/>
              <w:bottom w:val="single" w:sz="4" w:space="0" w:color="auto"/>
              <w:right w:val="single" w:sz="4" w:space="0" w:color="auto"/>
            </w:tcBorders>
            <w:shd w:val="clear" w:color="auto" w:fill="auto"/>
            <w:vAlign w:val="center"/>
            <w:hideMark/>
          </w:tcPr>
          <w:p w14:paraId="583998A7"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 </w:t>
            </w:r>
          </w:p>
        </w:tc>
      </w:tr>
      <w:tr w:rsidR="0060714E" w:rsidRPr="003542F3" w14:paraId="027A4224"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49AFC39B" w14:textId="7B476252"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t>71</w:t>
            </w:r>
          </w:p>
        </w:tc>
        <w:tc>
          <w:tcPr>
            <w:tcW w:w="1681" w:type="pct"/>
            <w:tcBorders>
              <w:top w:val="nil"/>
              <w:left w:val="nil"/>
              <w:bottom w:val="single" w:sz="4" w:space="0" w:color="auto"/>
              <w:right w:val="single" w:sz="4" w:space="0" w:color="auto"/>
            </w:tcBorders>
            <w:shd w:val="clear" w:color="auto" w:fill="auto"/>
            <w:vAlign w:val="center"/>
            <w:hideMark/>
          </w:tcPr>
          <w:p w14:paraId="76EFE7D9"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Whether Member has placed the disciplinary action letter received from Exchanges/SEBI before Board for consideration.</w:t>
            </w:r>
          </w:p>
        </w:tc>
        <w:tc>
          <w:tcPr>
            <w:tcW w:w="664" w:type="pct"/>
            <w:tcBorders>
              <w:top w:val="nil"/>
              <w:left w:val="nil"/>
              <w:bottom w:val="single" w:sz="4" w:space="0" w:color="auto"/>
              <w:right w:val="single" w:sz="4" w:space="0" w:color="auto"/>
            </w:tcBorders>
            <w:shd w:val="clear" w:color="auto" w:fill="auto"/>
            <w:vAlign w:val="center"/>
            <w:hideMark/>
          </w:tcPr>
          <w:p w14:paraId="6C9E682A"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40F08AC"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1FCC7A3D"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60714E" w:rsidRPr="003542F3" w14:paraId="5D4D09CA"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27481999" w14:textId="16886E63"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t>72</w:t>
            </w:r>
          </w:p>
        </w:tc>
        <w:tc>
          <w:tcPr>
            <w:tcW w:w="1681" w:type="pct"/>
            <w:tcBorders>
              <w:top w:val="nil"/>
              <w:left w:val="nil"/>
              <w:bottom w:val="single" w:sz="4" w:space="0" w:color="auto"/>
              <w:right w:val="single" w:sz="4" w:space="0" w:color="auto"/>
            </w:tcBorders>
            <w:shd w:val="clear" w:color="auto" w:fill="auto"/>
            <w:vAlign w:val="center"/>
            <w:hideMark/>
          </w:tcPr>
          <w:p w14:paraId="140AD71B"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taken corrective steps to rectify the deficiencies observed in the inspection carried out by SEBI. Further whether Member has complied with the qualifications/violations made in last SEBI inspection report</w:t>
            </w:r>
          </w:p>
        </w:tc>
        <w:tc>
          <w:tcPr>
            <w:tcW w:w="664" w:type="pct"/>
            <w:tcBorders>
              <w:top w:val="nil"/>
              <w:left w:val="nil"/>
              <w:bottom w:val="single" w:sz="4" w:space="0" w:color="auto"/>
              <w:right w:val="single" w:sz="4" w:space="0" w:color="auto"/>
            </w:tcBorders>
            <w:shd w:val="clear" w:color="auto" w:fill="auto"/>
            <w:vAlign w:val="center"/>
            <w:hideMark/>
          </w:tcPr>
          <w:p w14:paraId="7EEAED16"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59673BC"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47E2A7D2"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Last SEBI/CC Inspection Report</w:t>
            </w:r>
          </w:p>
        </w:tc>
      </w:tr>
      <w:tr w:rsidR="0060714E" w:rsidRPr="003542F3" w14:paraId="6B730B0D" w14:textId="77777777" w:rsidTr="00C04549">
        <w:trPr>
          <w:trHeight w:val="75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6F7D76CD" w14:textId="0011CC7F"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t>73</w:t>
            </w:r>
          </w:p>
        </w:tc>
        <w:tc>
          <w:tcPr>
            <w:tcW w:w="1681" w:type="pct"/>
            <w:tcBorders>
              <w:top w:val="nil"/>
              <w:left w:val="nil"/>
              <w:bottom w:val="single" w:sz="4" w:space="0" w:color="auto"/>
              <w:right w:val="single" w:sz="4" w:space="0" w:color="auto"/>
            </w:tcBorders>
            <w:shd w:val="clear" w:color="auto" w:fill="auto"/>
            <w:vAlign w:val="center"/>
            <w:hideMark/>
          </w:tcPr>
          <w:p w14:paraId="3B43904F"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taken corrective steps to rectify the deficiencies observed in the inspection carried out by CC. Further Member has complied with the qualifications/violations made in last CC inspection report</w:t>
            </w:r>
          </w:p>
        </w:tc>
        <w:tc>
          <w:tcPr>
            <w:tcW w:w="664" w:type="pct"/>
            <w:tcBorders>
              <w:top w:val="nil"/>
              <w:left w:val="nil"/>
              <w:bottom w:val="single" w:sz="4" w:space="0" w:color="auto"/>
              <w:right w:val="single" w:sz="4" w:space="0" w:color="auto"/>
            </w:tcBorders>
            <w:shd w:val="clear" w:color="auto" w:fill="auto"/>
            <w:vAlign w:val="center"/>
            <w:hideMark/>
          </w:tcPr>
          <w:p w14:paraId="2A03E7AA"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72DB2ABD"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D038786"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Last SEBI/CC Inspection Report/half yearly internal audit report</w:t>
            </w:r>
          </w:p>
        </w:tc>
      </w:tr>
      <w:tr w:rsidR="0060714E" w:rsidRPr="003542F3" w14:paraId="33DA1A61"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377BD6BA" w14:textId="251A078E"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t>74</w:t>
            </w:r>
          </w:p>
        </w:tc>
        <w:tc>
          <w:tcPr>
            <w:tcW w:w="1681" w:type="pct"/>
            <w:tcBorders>
              <w:top w:val="nil"/>
              <w:left w:val="nil"/>
              <w:bottom w:val="single" w:sz="4" w:space="0" w:color="auto"/>
              <w:right w:val="single" w:sz="4" w:space="0" w:color="auto"/>
            </w:tcBorders>
            <w:shd w:val="clear" w:color="auto" w:fill="auto"/>
            <w:vAlign w:val="center"/>
            <w:hideMark/>
          </w:tcPr>
          <w:p w14:paraId="24E971B7"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Member has taken corrective steps to rectify the deficiencies observed in the latest half yearly internal audit report</w:t>
            </w:r>
          </w:p>
        </w:tc>
        <w:tc>
          <w:tcPr>
            <w:tcW w:w="664" w:type="pct"/>
            <w:tcBorders>
              <w:top w:val="nil"/>
              <w:left w:val="nil"/>
              <w:bottom w:val="single" w:sz="4" w:space="0" w:color="auto"/>
              <w:right w:val="single" w:sz="4" w:space="0" w:color="auto"/>
            </w:tcBorders>
            <w:shd w:val="clear" w:color="auto" w:fill="auto"/>
            <w:vAlign w:val="center"/>
            <w:hideMark/>
          </w:tcPr>
          <w:p w14:paraId="2ABC52A6"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15BB63A1"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0E9C93D"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Last half yearly internal audit Report</w:t>
            </w:r>
          </w:p>
        </w:tc>
      </w:tr>
      <w:tr w:rsidR="0060714E" w:rsidRPr="003542F3" w14:paraId="6ED7836F"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132C052" w14:textId="3CC90D42"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t>75</w:t>
            </w:r>
          </w:p>
        </w:tc>
        <w:tc>
          <w:tcPr>
            <w:tcW w:w="1681" w:type="pct"/>
            <w:tcBorders>
              <w:top w:val="nil"/>
              <w:left w:val="nil"/>
              <w:bottom w:val="single" w:sz="4" w:space="0" w:color="auto"/>
              <w:right w:val="single" w:sz="4" w:space="0" w:color="auto"/>
            </w:tcBorders>
            <w:shd w:val="clear" w:color="auto" w:fill="auto"/>
            <w:vAlign w:val="center"/>
            <w:hideMark/>
          </w:tcPr>
          <w:p w14:paraId="2308F5C3"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Comments /observation on any other specific area which is not covered under any of the above area of verification.</w:t>
            </w:r>
          </w:p>
        </w:tc>
        <w:tc>
          <w:tcPr>
            <w:tcW w:w="664" w:type="pct"/>
            <w:tcBorders>
              <w:top w:val="nil"/>
              <w:left w:val="nil"/>
              <w:bottom w:val="single" w:sz="4" w:space="0" w:color="auto"/>
              <w:right w:val="single" w:sz="4" w:space="0" w:color="auto"/>
            </w:tcBorders>
            <w:shd w:val="clear" w:color="auto" w:fill="auto"/>
            <w:vAlign w:val="center"/>
            <w:hideMark/>
          </w:tcPr>
          <w:p w14:paraId="29C909DD"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08C3CD4"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3F0646D1" w14:textId="2D67C358"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r w:rsidR="0060714E" w:rsidRPr="003542F3" w14:paraId="787C9E5B" w14:textId="77777777" w:rsidTr="00C04549">
        <w:trPr>
          <w:trHeight w:val="500"/>
        </w:trPr>
        <w:tc>
          <w:tcPr>
            <w:tcW w:w="317" w:type="pct"/>
            <w:tcBorders>
              <w:top w:val="nil"/>
              <w:left w:val="single" w:sz="4" w:space="0" w:color="auto"/>
              <w:bottom w:val="single" w:sz="4" w:space="0" w:color="auto"/>
              <w:right w:val="single" w:sz="4" w:space="0" w:color="auto"/>
            </w:tcBorders>
            <w:shd w:val="clear" w:color="auto" w:fill="auto"/>
            <w:vAlign w:val="center"/>
            <w:hideMark/>
          </w:tcPr>
          <w:p w14:paraId="5CDA2C6A" w14:textId="2C4FA229" w:rsidR="0060714E" w:rsidRPr="003542F3" w:rsidRDefault="0060714E" w:rsidP="0060714E">
            <w:pPr>
              <w:spacing w:after="0" w:line="240" w:lineRule="auto"/>
              <w:rPr>
                <w:rFonts w:ascii="Arial" w:eastAsia="Times New Roman" w:hAnsi="Arial" w:cs="Arial"/>
                <w:color w:val="000000"/>
                <w:sz w:val="20"/>
                <w:szCs w:val="20"/>
                <w:lang w:val="en-IN" w:eastAsia="en-IN"/>
              </w:rPr>
            </w:pPr>
            <w:r>
              <w:rPr>
                <w:rFonts w:ascii="Arial" w:eastAsia="Times New Roman" w:hAnsi="Arial" w:cs="Arial"/>
                <w:color w:val="000000"/>
                <w:sz w:val="20"/>
                <w:szCs w:val="20"/>
                <w:lang w:eastAsia="en-IN"/>
              </w:rPr>
              <w:lastRenderedPageBreak/>
              <w:t>76</w:t>
            </w:r>
          </w:p>
        </w:tc>
        <w:tc>
          <w:tcPr>
            <w:tcW w:w="1681" w:type="pct"/>
            <w:tcBorders>
              <w:top w:val="nil"/>
              <w:left w:val="nil"/>
              <w:bottom w:val="single" w:sz="4" w:space="0" w:color="auto"/>
              <w:right w:val="single" w:sz="4" w:space="0" w:color="auto"/>
            </w:tcBorders>
            <w:shd w:val="clear" w:color="auto" w:fill="auto"/>
            <w:vAlign w:val="center"/>
            <w:hideMark/>
          </w:tcPr>
          <w:p w14:paraId="38E6B859" w14:textId="77777777" w:rsidR="0060714E" w:rsidRPr="003542F3" w:rsidRDefault="0060714E" w:rsidP="0060714E">
            <w:pPr>
              <w:spacing w:after="0" w:line="240" w:lineRule="auto"/>
              <w:jc w:val="both"/>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There are no repeat violations as per last inspection carried out by SEBI/ CC and last half yearly Internal Audit</w:t>
            </w:r>
          </w:p>
        </w:tc>
        <w:tc>
          <w:tcPr>
            <w:tcW w:w="664" w:type="pct"/>
            <w:tcBorders>
              <w:top w:val="nil"/>
              <w:left w:val="nil"/>
              <w:bottom w:val="single" w:sz="4" w:space="0" w:color="auto"/>
              <w:right w:val="single" w:sz="4" w:space="0" w:color="auto"/>
            </w:tcBorders>
            <w:shd w:val="clear" w:color="auto" w:fill="auto"/>
            <w:vAlign w:val="center"/>
            <w:hideMark/>
          </w:tcPr>
          <w:p w14:paraId="063B0002"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val="en-IN" w:eastAsia="en-IN"/>
              </w:rPr>
              <w:t>TCM, STCM and PCM</w:t>
            </w:r>
          </w:p>
        </w:tc>
        <w:tc>
          <w:tcPr>
            <w:tcW w:w="690" w:type="pct"/>
            <w:tcBorders>
              <w:top w:val="nil"/>
              <w:left w:val="nil"/>
              <w:bottom w:val="single" w:sz="4" w:space="0" w:color="auto"/>
              <w:right w:val="single" w:sz="4" w:space="0" w:color="auto"/>
            </w:tcBorders>
            <w:shd w:val="clear" w:color="auto" w:fill="auto"/>
            <w:vAlign w:val="center"/>
            <w:hideMark/>
          </w:tcPr>
          <w:p w14:paraId="207BFFC1"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Audit Period</w:t>
            </w:r>
          </w:p>
        </w:tc>
        <w:tc>
          <w:tcPr>
            <w:tcW w:w="1647" w:type="pct"/>
            <w:tcBorders>
              <w:top w:val="nil"/>
              <w:left w:val="nil"/>
              <w:bottom w:val="single" w:sz="4" w:space="0" w:color="auto"/>
              <w:right w:val="single" w:sz="4" w:space="0" w:color="auto"/>
            </w:tcBorders>
            <w:shd w:val="clear" w:color="auto" w:fill="auto"/>
            <w:vAlign w:val="center"/>
            <w:hideMark/>
          </w:tcPr>
          <w:p w14:paraId="500F5D56" w14:textId="77777777" w:rsidR="0060714E" w:rsidRPr="003542F3" w:rsidRDefault="0060714E" w:rsidP="0060714E">
            <w:pPr>
              <w:spacing w:after="0" w:line="240" w:lineRule="auto"/>
              <w:rPr>
                <w:rFonts w:ascii="Arial" w:eastAsia="Times New Roman" w:hAnsi="Arial" w:cs="Arial"/>
                <w:color w:val="000000"/>
                <w:sz w:val="20"/>
                <w:szCs w:val="20"/>
                <w:lang w:val="en-IN" w:eastAsia="en-IN"/>
              </w:rPr>
            </w:pPr>
            <w:r w:rsidRPr="003542F3">
              <w:rPr>
                <w:rFonts w:ascii="Arial" w:eastAsia="Times New Roman" w:hAnsi="Arial" w:cs="Arial"/>
                <w:color w:val="000000"/>
                <w:sz w:val="20"/>
                <w:szCs w:val="20"/>
                <w:lang w:eastAsia="en-IN"/>
              </w:rPr>
              <w:t>-</w:t>
            </w:r>
          </w:p>
        </w:tc>
      </w:tr>
    </w:tbl>
    <w:p w14:paraId="22F78542" w14:textId="77777777" w:rsidR="0060714E" w:rsidRDefault="0060714E" w:rsidP="00230F15">
      <w:pPr>
        <w:spacing w:line="240" w:lineRule="auto"/>
        <w:rPr>
          <w:rFonts w:ascii="Arial" w:hAnsi="Arial" w:cs="Arial"/>
          <w:b/>
          <w:bCs/>
          <w:szCs w:val="20"/>
        </w:rPr>
      </w:pPr>
    </w:p>
    <w:p w14:paraId="5D0930BD" w14:textId="7CECC968" w:rsidR="003E26ED" w:rsidRPr="003542F3" w:rsidRDefault="00F62568" w:rsidP="00230F15">
      <w:pPr>
        <w:spacing w:line="240" w:lineRule="auto"/>
        <w:rPr>
          <w:rFonts w:ascii="Arial" w:hAnsi="Arial" w:cs="Arial"/>
          <w:b/>
          <w:bCs/>
          <w:szCs w:val="20"/>
        </w:rPr>
      </w:pPr>
      <w:r w:rsidRPr="003542F3">
        <w:rPr>
          <w:rFonts w:ascii="Arial" w:hAnsi="Arial" w:cs="Arial"/>
          <w:b/>
          <w:bCs/>
          <w:szCs w:val="20"/>
        </w:rPr>
        <w:t>Sample Details</w:t>
      </w:r>
    </w:p>
    <w:p w14:paraId="1BDCF7D5" w14:textId="77777777" w:rsidR="00514EA2" w:rsidRPr="003542F3" w:rsidRDefault="00514EA2" w:rsidP="00230F15">
      <w:pPr>
        <w:jc w:val="both"/>
        <w:rPr>
          <w:rFonts w:ascii="Arial" w:hAnsi="Arial" w:cs="Arial"/>
          <w:szCs w:val="20"/>
        </w:rPr>
      </w:pPr>
      <w:r w:rsidRPr="003542F3">
        <w:rPr>
          <w:rFonts w:ascii="Arial" w:hAnsi="Arial" w:cs="Arial"/>
          <w:szCs w:val="20"/>
        </w:rPr>
        <w:t>Identify top 6 dates (one date in each month of the Audit period) with highest margin requirement (combined across all segments)</w:t>
      </w:r>
    </w:p>
    <w:p w14:paraId="071C79EE" w14:textId="77777777" w:rsidR="00514EA2" w:rsidRPr="003542F3" w:rsidRDefault="00514EA2" w:rsidP="00230F15">
      <w:pPr>
        <w:jc w:val="both"/>
        <w:rPr>
          <w:rFonts w:ascii="Arial" w:hAnsi="Arial" w:cs="Arial"/>
          <w:szCs w:val="20"/>
        </w:rPr>
      </w:pPr>
      <w:r w:rsidRPr="003542F3">
        <w:rPr>
          <w:rFonts w:ascii="Arial" w:hAnsi="Arial" w:cs="Arial"/>
          <w:szCs w:val="20"/>
        </w:rPr>
        <w:t>Out of the 6 dates selected, identify top clients in each segment, with highest margin obligation.</w:t>
      </w:r>
    </w:p>
    <w:tbl>
      <w:tblPr>
        <w:tblStyle w:val="TableGrid"/>
        <w:tblW w:w="5000" w:type="pct"/>
        <w:tblLook w:val="04A0" w:firstRow="1" w:lastRow="0" w:firstColumn="1" w:lastColumn="0" w:noHBand="0" w:noVBand="1"/>
      </w:tblPr>
      <w:tblGrid>
        <w:gridCol w:w="4675"/>
        <w:gridCol w:w="4675"/>
      </w:tblGrid>
      <w:tr w:rsidR="00514EA2" w:rsidRPr="003542F3" w14:paraId="77052BA9" w14:textId="77777777" w:rsidTr="00645B40">
        <w:tc>
          <w:tcPr>
            <w:tcW w:w="2500" w:type="pct"/>
          </w:tcPr>
          <w:p w14:paraId="6A7E40E0" w14:textId="04C5444F" w:rsidR="00514EA2" w:rsidRPr="003542F3" w:rsidRDefault="00514EA2" w:rsidP="00230F15">
            <w:pPr>
              <w:jc w:val="both"/>
              <w:rPr>
                <w:rFonts w:ascii="Arial" w:hAnsi="Arial" w:cs="Arial"/>
                <w:b/>
                <w:bCs/>
                <w:szCs w:val="20"/>
              </w:rPr>
            </w:pPr>
            <w:r w:rsidRPr="003542F3">
              <w:rPr>
                <w:rFonts w:ascii="Arial" w:hAnsi="Arial" w:cs="Arial"/>
                <w:b/>
                <w:bCs/>
                <w:szCs w:val="20"/>
              </w:rPr>
              <w:t xml:space="preserve">No. of clients for which CM clears the trades </w:t>
            </w:r>
          </w:p>
        </w:tc>
        <w:tc>
          <w:tcPr>
            <w:tcW w:w="2500" w:type="pct"/>
          </w:tcPr>
          <w:p w14:paraId="088BD208" w14:textId="77777777" w:rsidR="00514EA2" w:rsidRPr="003542F3" w:rsidRDefault="00514EA2" w:rsidP="00230F15">
            <w:pPr>
              <w:jc w:val="both"/>
              <w:rPr>
                <w:rFonts w:ascii="Arial" w:hAnsi="Arial" w:cs="Arial"/>
                <w:b/>
                <w:bCs/>
                <w:szCs w:val="20"/>
              </w:rPr>
            </w:pPr>
            <w:r w:rsidRPr="003542F3">
              <w:rPr>
                <w:rFonts w:ascii="Arial" w:hAnsi="Arial" w:cs="Arial"/>
                <w:b/>
                <w:bCs/>
                <w:szCs w:val="20"/>
              </w:rPr>
              <w:t>Sample size</w:t>
            </w:r>
          </w:p>
        </w:tc>
      </w:tr>
      <w:tr w:rsidR="00514EA2" w:rsidRPr="003542F3" w14:paraId="6014E09C" w14:textId="77777777" w:rsidTr="00645B40">
        <w:tc>
          <w:tcPr>
            <w:tcW w:w="2500" w:type="pct"/>
          </w:tcPr>
          <w:p w14:paraId="1C68D96C" w14:textId="77777777" w:rsidR="00514EA2" w:rsidRPr="003542F3" w:rsidRDefault="00514EA2" w:rsidP="00230F15">
            <w:pPr>
              <w:jc w:val="both"/>
              <w:rPr>
                <w:rFonts w:ascii="Arial" w:hAnsi="Arial" w:cs="Arial"/>
                <w:szCs w:val="20"/>
              </w:rPr>
            </w:pPr>
            <w:r w:rsidRPr="003542F3">
              <w:rPr>
                <w:rFonts w:ascii="Arial" w:hAnsi="Arial" w:cs="Arial"/>
                <w:szCs w:val="20"/>
              </w:rPr>
              <w:t xml:space="preserve">Less than 100 active clients during the audit period </w:t>
            </w:r>
          </w:p>
        </w:tc>
        <w:tc>
          <w:tcPr>
            <w:tcW w:w="2500" w:type="pct"/>
          </w:tcPr>
          <w:p w14:paraId="7D69D4C7" w14:textId="77777777" w:rsidR="00514EA2" w:rsidRPr="003542F3" w:rsidRDefault="00514EA2" w:rsidP="00230F15">
            <w:pPr>
              <w:jc w:val="both"/>
              <w:rPr>
                <w:rFonts w:ascii="Arial" w:hAnsi="Arial" w:cs="Arial"/>
                <w:szCs w:val="20"/>
              </w:rPr>
            </w:pPr>
            <w:r w:rsidRPr="003542F3">
              <w:rPr>
                <w:rFonts w:ascii="Arial" w:hAnsi="Arial" w:cs="Arial"/>
                <w:szCs w:val="20"/>
              </w:rPr>
              <w:t xml:space="preserve">Minimum of 25 clients or the total number of clients per segment whichever is lower. </w:t>
            </w:r>
          </w:p>
        </w:tc>
      </w:tr>
      <w:tr w:rsidR="00514EA2" w:rsidRPr="003542F3" w14:paraId="56A0C33C" w14:textId="77777777" w:rsidTr="00645B40">
        <w:tc>
          <w:tcPr>
            <w:tcW w:w="2500" w:type="pct"/>
          </w:tcPr>
          <w:p w14:paraId="1BF9A680" w14:textId="77777777" w:rsidR="00514EA2" w:rsidRPr="003542F3" w:rsidRDefault="00514EA2" w:rsidP="00230F15">
            <w:pPr>
              <w:jc w:val="both"/>
              <w:rPr>
                <w:rFonts w:ascii="Arial" w:hAnsi="Arial" w:cs="Arial"/>
                <w:szCs w:val="20"/>
              </w:rPr>
            </w:pPr>
            <w:r w:rsidRPr="003542F3">
              <w:rPr>
                <w:rFonts w:ascii="Arial" w:hAnsi="Arial" w:cs="Arial"/>
                <w:szCs w:val="20"/>
              </w:rPr>
              <w:t xml:space="preserve">Between 100 to 500 active clients during the audit period </w:t>
            </w:r>
          </w:p>
        </w:tc>
        <w:tc>
          <w:tcPr>
            <w:tcW w:w="2500" w:type="pct"/>
          </w:tcPr>
          <w:p w14:paraId="53755092" w14:textId="77777777" w:rsidR="00514EA2" w:rsidRPr="003542F3" w:rsidRDefault="00514EA2" w:rsidP="00230F15">
            <w:pPr>
              <w:jc w:val="both"/>
              <w:rPr>
                <w:rFonts w:ascii="Arial" w:hAnsi="Arial" w:cs="Arial"/>
                <w:szCs w:val="20"/>
              </w:rPr>
            </w:pPr>
            <w:r w:rsidRPr="003542F3">
              <w:rPr>
                <w:rFonts w:ascii="Arial" w:hAnsi="Arial" w:cs="Arial"/>
                <w:szCs w:val="20"/>
              </w:rPr>
              <w:t xml:space="preserve">Minimum of 50 clients per segment </w:t>
            </w:r>
          </w:p>
        </w:tc>
      </w:tr>
      <w:tr w:rsidR="00514EA2" w:rsidRPr="003542F3" w14:paraId="18DC0564" w14:textId="77777777" w:rsidTr="00645B40">
        <w:tc>
          <w:tcPr>
            <w:tcW w:w="2500" w:type="pct"/>
          </w:tcPr>
          <w:p w14:paraId="706EB899" w14:textId="77777777" w:rsidR="00514EA2" w:rsidRPr="003542F3" w:rsidRDefault="00514EA2" w:rsidP="00230F15">
            <w:pPr>
              <w:jc w:val="both"/>
              <w:rPr>
                <w:rFonts w:ascii="Arial" w:hAnsi="Arial" w:cs="Arial"/>
                <w:szCs w:val="20"/>
              </w:rPr>
            </w:pPr>
            <w:r w:rsidRPr="003542F3">
              <w:rPr>
                <w:rFonts w:ascii="Arial" w:hAnsi="Arial" w:cs="Arial"/>
                <w:szCs w:val="20"/>
              </w:rPr>
              <w:t xml:space="preserve">More than 500 active clients during the audit period </w:t>
            </w:r>
          </w:p>
        </w:tc>
        <w:tc>
          <w:tcPr>
            <w:tcW w:w="2500" w:type="pct"/>
          </w:tcPr>
          <w:p w14:paraId="62ACC3AF" w14:textId="77777777" w:rsidR="00514EA2" w:rsidRPr="003542F3" w:rsidRDefault="00514EA2" w:rsidP="00230F15">
            <w:pPr>
              <w:jc w:val="both"/>
              <w:rPr>
                <w:rFonts w:ascii="Arial" w:hAnsi="Arial" w:cs="Arial"/>
                <w:szCs w:val="20"/>
              </w:rPr>
            </w:pPr>
            <w:r w:rsidRPr="003542F3">
              <w:rPr>
                <w:rFonts w:ascii="Arial" w:hAnsi="Arial" w:cs="Arial"/>
                <w:szCs w:val="20"/>
              </w:rPr>
              <w:t xml:space="preserve">Minimum of 100 clients per segment </w:t>
            </w:r>
          </w:p>
        </w:tc>
      </w:tr>
    </w:tbl>
    <w:p w14:paraId="2AE38DAB" w14:textId="77777777" w:rsidR="00CF4417" w:rsidRPr="003542F3" w:rsidRDefault="00CF4417" w:rsidP="00230F15">
      <w:pPr>
        <w:spacing w:line="240" w:lineRule="auto"/>
        <w:rPr>
          <w:rFonts w:ascii="Arial" w:hAnsi="Arial" w:cs="Arial"/>
          <w:szCs w:val="20"/>
        </w:rPr>
      </w:pPr>
    </w:p>
    <w:p w14:paraId="5D6E70F6" w14:textId="77777777" w:rsidR="00E57B1F" w:rsidRPr="003542F3" w:rsidRDefault="00E57B1F" w:rsidP="00230F15">
      <w:pPr>
        <w:rPr>
          <w:rFonts w:ascii="Arial" w:hAnsi="Arial" w:cs="Arial"/>
          <w:b/>
          <w:bCs/>
          <w:color w:val="000000"/>
          <w:szCs w:val="20"/>
          <w:lang w:val="en-IN"/>
        </w:rPr>
      </w:pPr>
      <w:r w:rsidRPr="003542F3">
        <w:rPr>
          <w:rFonts w:ascii="Arial" w:hAnsi="Arial" w:cs="Arial"/>
          <w:b/>
          <w:bCs/>
          <w:color w:val="000000"/>
          <w:szCs w:val="20"/>
          <w:lang w:val="en-IN"/>
        </w:rPr>
        <w:br w:type="page"/>
      </w:r>
    </w:p>
    <w:p w14:paraId="2230B67A" w14:textId="258E415E" w:rsidR="00BC0CAF" w:rsidRPr="003542F3" w:rsidRDefault="00BC0CAF" w:rsidP="00230F15">
      <w:pPr>
        <w:autoSpaceDE w:val="0"/>
        <w:autoSpaceDN w:val="0"/>
        <w:adjustRightInd w:val="0"/>
        <w:spacing w:after="0" w:line="240" w:lineRule="auto"/>
        <w:jc w:val="center"/>
        <w:rPr>
          <w:rFonts w:ascii="Arial" w:hAnsi="Arial" w:cs="Arial"/>
          <w:color w:val="000000"/>
          <w:szCs w:val="20"/>
          <w:lang w:val="en-IN"/>
        </w:rPr>
      </w:pPr>
      <w:r w:rsidRPr="003542F3">
        <w:rPr>
          <w:rFonts w:ascii="Arial" w:hAnsi="Arial" w:cs="Arial"/>
          <w:b/>
          <w:bCs/>
          <w:color w:val="000000"/>
          <w:szCs w:val="20"/>
          <w:lang w:val="en-IN"/>
        </w:rPr>
        <w:lastRenderedPageBreak/>
        <w:t>POINTS TO BE NOTED</w:t>
      </w:r>
    </w:p>
    <w:p w14:paraId="0DB9177A" w14:textId="41D5208A" w:rsidR="00BC0CAF" w:rsidRPr="003542F3" w:rsidRDefault="00BC0CAF" w:rsidP="00230F15">
      <w:pPr>
        <w:spacing w:line="240" w:lineRule="auto"/>
        <w:jc w:val="both"/>
        <w:rPr>
          <w:rFonts w:ascii="Arial" w:hAnsi="Arial" w:cs="Arial"/>
          <w:color w:val="000000"/>
          <w:szCs w:val="20"/>
          <w:lang w:val="en-IN"/>
        </w:rPr>
      </w:pPr>
      <w:r w:rsidRPr="003542F3">
        <w:rPr>
          <w:rFonts w:ascii="Arial" w:hAnsi="Arial" w:cs="Arial"/>
          <w:b/>
          <w:bCs/>
          <w:color w:val="000000"/>
          <w:szCs w:val="20"/>
          <w:lang w:val="en-IN"/>
        </w:rPr>
        <w:t xml:space="preserve">The guidelines prescribed here are only indicative in nature and not exhaustive. </w:t>
      </w:r>
      <w:r w:rsidRPr="003542F3">
        <w:rPr>
          <w:rFonts w:ascii="Arial" w:hAnsi="Arial" w:cs="Arial"/>
          <w:color w:val="000000"/>
          <w:szCs w:val="20"/>
          <w:lang w:val="en-IN"/>
        </w:rPr>
        <w:t xml:space="preserve">It does not in any way limit the scope of the internal audit. The guidelines have been prepared based on the regulatory requirements (as per relevant Acts, Rules, Regulations and circulars) which keep on developing from time to time on best effort basis. The auditors should peruse them and update the scope of the audit. </w:t>
      </w:r>
      <w:r w:rsidRPr="003542F3">
        <w:rPr>
          <w:rFonts w:ascii="Arial" w:hAnsi="Arial" w:cs="Arial"/>
          <w:b/>
          <w:bCs/>
          <w:color w:val="000000"/>
          <w:szCs w:val="20"/>
          <w:lang w:val="en-IN"/>
        </w:rPr>
        <w:t>The auditors should clearly indicate ‘Complied’ indicating Compliance, ‘Not Complied’ indicating Non-compliance and ‘N.A’ wherever ‘Not Applicable’</w:t>
      </w:r>
      <w:r w:rsidRPr="003542F3">
        <w:rPr>
          <w:rFonts w:ascii="Arial" w:hAnsi="Arial" w:cs="Arial"/>
          <w:color w:val="000000"/>
          <w:szCs w:val="20"/>
          <w:lang w:val="en-IN"/>
        </w:rPr>
        <w:t>.</w:t>
      </w:r>
    </w:p>
    <w:p w14:paraId="0E42686C" w14:textId="0F34D8C2" w:rsidR="00A752D1" w:rsidRPr="003542F3" w:rsidRDefault="00A752D1" w:rsidP="00230F15">
      <w:pPr>
        <w:spacing w:line="240" w:lineRule="auto"/>
        <w:jc w:val="both"/>
        <w:rPr>
          <w:rFonts w:ascii="Arial" w:hAnsi="Arial" w:cs="Arial"/>
          <w:szCs w:val="20"/>
        </w:rPr>
      </w:pPr>
      <w:r w:rsidRPr="003542F3">
        <w:rPr>
          <w:rFonts w:ascii="Arial" w:hAnsi="Arial" w:cs="Arial"/>
          <w:szCs w:val="20"/>
        </w:rPr>
        <w:t>The audit report shall also include the following:</w:t>
      </w:r>
    </w:p>
    <w:p w14:paraId="6624808C" w14:textId="77777777" w:rsidR="00A752D1" w:rsidRPr="003542F3" w:rsidRDefault="00A752D1" w:rsidP="00230F15">
      <w:pPr>
        <w:autoSpaceDE w:val="0"/>
        <w:autoSpaceDN w:val="0"/>
        <w:adjustRightInd w:val="0"/>
        <w:spacing w:after="0" w:line="240" w:lineRule="auto"/>
        <w:rPr>
          <w:rFonts w:ascii="Arial" w:hAnsi="Arial" w:cs="Arial"/>
          <w:color w:val="000000"/>
          <w:szCs w:val="20"/>
          <w:lang w:val="en-IN"/>
        </w:rPr>
      </w:pPr>
    </w:p>
    <w:p w14:paraId="21647B10" w14:textId="77777777" w:rsidR="00A752D1" w:rsidRPr="003542F3" w:rsidRDefault="00A752D1" w:rsidP="00230F15">
      <w:pPr>
        <w:pStyle w:val="ListParagraph"/>
        <w:numPr>
          <w:ilvl w:val="0"/>
          <w:numId w:val="6"/>
        </w:numPr>
        <w:autoSpaceDE w:val="0"/>
        <w:autoSpaceDN w:val="0"/>
        <w:adjustRightInd w:val="0"/>
        <w:spacing w:after="0" w:line="240" w:lineRule="auto"/>
        <w:rPr>
          <w:rFonts w:ascii="Arial" w:hAnsi="Arial" w:cs="Arial"/>
          <w:color w:val="000000"/>
          <w:szCs w:val="20"/>
          <w:lang w:val="en-IN"/>
        </w:rPr>
      </w:pPr>
      <w:r w:rsidRPr="003542F3">
        <w:rPr>
          <w:rFonts w:ascii="Arial" w:hAnsi="Arial" w:cs="Arial"/>
          <w:b/>
          <w:bCs/>
          <w:color w:val="000000"/>
          <w:szCs w:val="20"/>
          <w:lang w:val="en-IN"/>
        </w:rPr>
        <w:t xml:space="preserve">Management comments </w:t>
      </w:r>
    </w:p>
    <w:p w14:paraId="26D1E67C" w14:textId="2B041AC9" w:rsidR="00A752D1" w:rsidRPr="003542F3" w:rsidRDefault="00A752D1" w:rsidP="001911C2">
      <w:pPr>
        <w:autoSpaceDE w:val="0"/>
        <w:autoSpaceDN w:val="0"/>
        <w:adjustRightInd w:val="0"/>
        <w:spacing w:after="0" w:line="240" w:lineRule="auto"/>
        <w:ind w:left="360" w:hanging="360"/>
        <w:jc w:val="both"/>
        <w:rPr>
          <w:rFonts w:ascii="Arial" w:hAnsi="Arial" w:cs="Arial"/>
          <w:color w:val="000000"/>
          <w:szCs w:val="20"/>
          <w:lang w:val="en-IN"/>
        </w:rPr>
      </w:pPr>
      <w:r w:rsidRPr="003542F3">
        <w:rPr>
          <w:rFonts w:ascii="Arial" w:hAnsi="Arial" w:cs="Arial"/>
          <w:color w:val="000000"/>
          <w:szCs w:val="20"/>
          <w:lang w:val="en-IN"/>
        </w:rPr>
        <w:tab/>
        <w:t xml:space="preserve">In case of any non-compliances/findings/observations/qualifications by the auditor the management responses should be given to the </w:t>
      </w:r>
      <w:r w:rsidR="00676101" w:rsidRPr="003542F3">
        <w:rPr>
          <w:rFonts w:ascii="Arial" w:hAnsi="Arial" w:cs="Arial"/>
          <w:color w:val="000000"/>
          <w:szCs w:val="20"/>
          <w:lang w:val="en-IN"/>
        </w:rPr>
        <w:t xml:space="preserve">CC </w:t>
      </w:r>
      <w:r w:rsidRPr="003542F3">
        <w:rPr>
          <w:rFonts w:ascii="Arial" w:hAnsi="Arial" w:cs="Arial"/>
          <w:color w:val="000000"/>
          <w:szCs w:val="20"/>
          <w:lang w:val="en-IN"/>
        </w:rPr>
        <w:t xml:space="preserve">against each point. </w:t>
      </w:r>
    </w:p>
    <w:p w14:paraId="2368F970" w14:textId="77777777" w:rsidR="00A462AC" w:rsidRPr="003542F3" w:rsidRDefault="00A462AC" w:rsidP="00230F15">
      <w:pPr>
        <w:autoSpaceDE w:val="0"/>
        <w:autoSpaceDN w:val="0"/>
        <w:adjustRightInd w:val="0"/>
        <w:spacing w:after="0" w:line="240" w:lineRule="auto"/>
        <w:rPr>
          <w:rFonts w:ascii="Arial" w:hAnsi="Arial" w:cs="Arial"/>
          <w:color w:val="000000"/>
          <w:szCs w:val="20"/>
          <w:lang w:val="en-IN"/>
        </w:rPr>
      </w:pPr>
    </w:p>
    <w:p w14:paraId="0D35F271" w14:textId="77777777" w:rsidR="00A462AC" w:rsidRPr="003542F3" w:rsidRDefault="00A462AC" w:rsidP="00230F15">
      <w:pPr>
        <w:pStyle w:val="ListParagraph"/>
        <w:numPr>
          <w:ilvl w:val="0"/>
          <w:numId w:val="6"/>
        </w:numPr>
        <w:autoSpaceDE w:val="0"/>
        <w:autoSpaceDN w:val="0"/>
        <w:adjustRightInd w:val="0"/>
        <w:spacing w:after="0" w:line="240" w:lineRule="auto"/>
        <w:rPr>
          <w:rFonts w:ascii="Arial" w:hAnsi="Arial" w:cs="Arial"/>
          <w:color w:val="000000"/>
          <w:szCs w:val="20"/>
          <w:lang w:val="en-IN"/>
        </w:rPr>
      </w:pPr>
      <w:r w:rsidRPr="003542F3">
        <w:rPr>
          <w:rFonts w:ascii="Arial" w:hAnsi="Arial" w:cs="Arial"/>
          <w:b/>
          <w:bCs/>
          <w:color w:val="000000"/>
          <w:szCs w:val="20"/>
          <w:lang w:val="en-IN"/>
        </w:rPr>
        <w:t xml:space="preserve">Points to be noted by the Internal Auditor </w:t>
      </w:r>
    </w:p>
    <w:p w14:paraId="54C20FBA" w14:textId="77777777" w:rsidR="00397C1A" w:rsidRPr="003542F3" w:rsidRDefault="00397C1A" w:rsidP="00230F15">
      <w:pPr>
        <w:pStyle w:val="ListParagraph"/>
        <w:autoSpaceDE w:val="0"/>
        <w:autoSpaceDN w:val="0"/>
        <w:adjustRightInd w:val="0"/>
        <w:spacing w:after="0" w:line="240" w:lineRule="auto"/>
        <w:ind w:left="360"/>
        <w:rPr>
          <w:rFonts w:ascii="Arial" w:hAnsi="Arial" w:cs="Arial"/>
          <w:color w:val="000000"/>
          <w:szCs w:val="20"/>
          <w:lang w:val="en-IN"/>
        </w:rPr>
      </w:pPr>
    </w:p>
    <w:p w14:paraId="33E23720" w14:textId="77777777" w:rsidR="00397C1A" w:rsidRPr="003542F3" w:rsidRDefault="00397C1A"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 xml:space="preserve">No remarks will be allowed by Auditor in case of “complied” status. In case the auditor is of the opinion that the relevant checklist point has not been complied by the Member in full, Auditor shall indicate “Non-compliance” against such points. </w:t>
      </w:r>
    </w:p>
    <w:p w14:paraId="56A19AFE" w14:textId="77777777" w:rsidR="002E727D" w:rsidRPr="003542F3" w:rsidRDefault="002E727D" w:rsidP="00781005">
      <w:pPr>
        <w:pStyle w:val="ListParagraph"/>
        <w:autoSpaceDE w:val="0"/>
        <w:autoSpaceDN w:val="0"/>
        <w:adjustRightInd w:val="0"/>
        <w:spacing w:after="0" w:line="240" w:lineRule="auto"/>
        <w:ind w:left="1080"/>
        <w:jc w:val="both"/>
        <w:rPr>
          <w:rFonts w:ascii="Arial" w:hAnsi="Arial" w:cs="Arial"/>
          <w:color w:val="000000"/>
          <w:szCs w:val="20"/>
          <w:lang w:val="en-IN"/>
        </w:rPr>
      </w:pPr>
    </w:p>
    <w:p w14:paraId="10C3E2A2" w14:textId="77777777" w:rsidR="002E727D" w:rsidRPr="003542F3" w:rsidRDefault="002E727D"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b/>
          <w:bCs/>
          <w:color w:val="000000"/>
          <w:szCs w:val="20"/>
          <w:lang w:val="en-IN"/>
        </w:rPr>
        <w:t xml:space="preserve">For each “Not complied” observation, wherever applicable the auditor shall mandatorily provide the “no. of instances verified”, “% of instances where non-compliance is observed” and “Amount/value involved where non-compliance is observed” while submitting the Audit report </w:t>
      </w:r>
    </w:p>
    <w:p w14:paraId="6A908DF9" w14:textId="77777777" w:rsidR="00125CBC" w:rsidRPr="003542F3" w:rsidRDefault="00125CBC" w:rsidP="00781005">
      <w:pPr>
        <w:pStyle w:val="ListParagraph"/>
        <w:autoSpaceDE w:val="0"/>
        <w:autoSpaceDN w:val="0"/>
        <w:adjustRightInd w:val="0"/>
        <w:spacing w:after="0" w:line="240" w:lineRule="auto"/>
        <w:ind w:left="1080"/>
        <w:jc w:val="both"/>
        <w:rPr>
          <w:rFonts w:ascii="Arial" w:hAnsi="Arial" w:cs="Arial"/>
          <w:color w:val="000000"/>
          <w:szCs w:val="20"/>
          <w:lang w:val="en-IN"/>
        </w:rPr>
      </w:pPr>
    </w:p>
    <w:p w14:paraId="46A37641" w14:textId="578450C8" w:rsidR="00125CBC" w:rsidRPr="003542F3" w:rsidRDefault="00125CBC"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A statement by the auditor that the provisions of SCRA 1956, SEBI Act 1992, SEBI (Stock Brokers) Regulations 1992, SCRR 1957, Rules, Bye laws, Regulations, circulars of SEBI, agreements, Bye laws of Clearing Corporation, data security</w:t>
      </w:r>
      <w:r w:rsidR="00693C5D" w:rsidRPr="003542F3">
        <w:rPr>
          <w:rFonts w:ascii="Arial" w:hAnsi="Arial" w:cs="Arial"/>
          <w:color w:val="000000"/>
          <w:szCs w:val="20"/>
          <w:lang w:val="en-IN"/>
        </w:rPr>
        <w:t>.</w:t>
      </w:r>
      <w:r w:rsidRPr="003542F3">
        <w:rPr>
          <w:rFonts w:ascii="Arial" w:hAnsi="Arial" w:cs="Arial"/>
          <w:color w:val="000000"/>
          <w:szCs w:val="20"/>
          <w:lang w:val="en-IN"/>
        </w:rPr>
        <w:t xml:space="preserve"> </w:t>
      </w:r>
    </w:p>
    <w:p w14:paraId="308751CE" w14:textId="5CE327FD" w:rsidR="002E727D" w:rsidRPr="003542F3" w:rsidRDefault="000A0FB6"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Auditor shall specifically declare about direct / indirect interest in or relationship with the member or its shareholders / directors / partners / proprietors / management if any and also confirm that they do not perceive any conflict of interest in such relationship / interest while conducting internal audit of the said member</w:t>
      </w:r>
      <w:r w:rsidR="001D62B1" w:rsidRPr="003542F3">
        <w:rPr>
          <w:rFonts w:ascii="Arial" w:hAnsi="Arial" w:cs="Arial"/>
          <w:color w:val="000000"/>
          <w:szCs w:val="20"/>
          <w:lang w:val="en-IN"/>
        </w:rPr>
        <w:t>.</w:t>
      </w:r>
    </w:p>
    <w:p w14:paraId="45235A35" w14:textId="08C17B6F" w:rsidR="001D62B1" w:rsidRPr="003542F3" w:rsidRDefault="001D62B1"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Sample size indicated in the format above is minimum sample size. The guidelines for selection of sample is given in Annexure III. All Auditors are advised to adhere to the guidelines while verifying the respective areas. The auditor may increase the sample size as it may deem fit.</w:t>
      </w:r>
    </w:p>
    <w:p w14:paraId="24DD352F" w14:textId="3F923F6D" w:rsidR="007C2C62" w:rsidRPr="003542F3" w:rsidRDefault="007C2C62"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 xml:space="preserve">For each theme/area of audit, auditor shall clearly specify the sample size verified and in case of any non-compliance, the number of instances where adverse observations </w:t>
      </w:r>
      <w:r w:rsidR="002C2965" w:rsidRPr="003542F3">
        <w:rPr>
          <w:rFonts w:ascii="Arial" w:hAnsi="Arial" w:cs="Arial"/>
          <w:color w:val="000000"/>
          <w:szCs w:val="20"/>
          <w:lang w:val="en-IN"/>
        </w:rPr>
        <w:t>are</w:t>
      </w:r>
      <w:r w:rsidRPr="003542F3">
        <w:rPr>
          <w:rFonts w:ascii="Arial" w:hAnsi="Arial" w:cs="Arial"/>
          <w:color w:val="000000"/>
          <w:szCs w:val="20"/>
          <w:lang w:val="en-IN"/>
        </w:rPr>
        <w:t xml:space="preserve"> noted including the details of the adverse observations in the space provided.</w:t>
      </w:r>
    </w:p>
    <w:p w14:paraId="69869F78" w14:textId="0A1BF89A" w:rsidR="00C318E8" w:rsidRPr="003542F3" w:rsidRDefault="00C318E8"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 xml:space="preserve">The internal audit report should be submitted to the </w:t>
      </w:r>
      <w:r w:rsidR="00676101" w:rsidRPr="003542F3">
        <w:rPr>
          <w:rFonts w:ascii="Arial" w:hAnsi="Arial" w:cs="Arial"/>
          <w:color w:val="000000"/>
          <w:szCs w:val="20"/>
          <w:lang w:val="en-IN"/>
        </w:rPr>
        <w:t xml:space="preserve">CC </w:t>
      </w:r>
      <w:r w:rsidRPr="003542F3">
        <w:rPr>
          <w:rFonts w:ascii="Arial" w:hAnsi="Arial" w:cs="Arial"/>
          <w:color w:val="000000"/>
          <w:szCs w:val="20"/>
          <w:lang w:val="en-IN"/>
        </w:rPr>
        <w:t>as per the report format specified above.</w:t>
      </w:r>
    </w:p>
    <w:p w14:paraId="16573BFB" w14:textId="2E8C32E7" w:rsidR="007E6AB7" w:rsidRPr="003542F3" w:rsidRDefault="007E6AB7" w:rsidP="00781005">
      <w:pPr>
        <w:pStyle w:val="ListParagraph"/>
        <w:numPr>
          <w:ilvl w:val="0"/>
          <w:numId w:val="7"/>
        </w:numPr>
        <w:autoSpaceDE w:val="0"/>
        <w:autoSpaceDN w:val="0"/>
        <w:adjustRightInd w:val="0"/>
        <w:spacing w:after="0" w:line="240" w:lineRule="auto"/>
        <w:jc w:val="both"/>
        <w:rPr>
          <w:rFonts w:ascii="Arial" w:hAnsi="Arial" w:cs="Arial"/>
          <w:color w:val="000000"/>
          <w:szCs w:val="20"/>
          <w:lang w:val="en-IN"/>
        </w:rPr>
      </w:pPr>
      <w:r w:rsidRPr="003542F3">
        <w:rPr>
          <w:rFonts w:ascii="Arial" w:hAnsi="Arial" w:cs="Arial"/>
          <w:color w:val="000000"/>
          <w:szCs w:val="20"/>
          <w:lang w:val="en-IN"/>
        </w:rPr>
        <w:t xml:space="preserve">In case where internal audit report submitted is incomplete and not as per the prescribed guidelines like non-adherence to sample size guidelines same would be treated as non-submission of internal audit report. </w:t>
      </w:r>
      <w:r w:rsidR="002E1154" w:rsidRPr="003542F3">
        <w:rPr>
          <w:rFonts w:ascii="Arial" w:hAnsi="Arial" w:cs="Arial"/>
          <w:color w:val="000000"/>
          <w:szCs w:val="20"/>
          <w:lang w:val="en-IN"/>
        </w:rPr>
        <w:t>N</w:t>
      </w:r>
      <w:r w:rsidR="00A27BA8" w:rsidRPr="003542F3">
        <w:rPr>
          <w:rFonts w:ascii="Arial" w:hAnsi="Arial" w:cs="Arial"/>
          <w:color w:val="000000"/>
          <w:szCs w:val="20"/>
          <w:lang w:val="en-IN"/>
        </w:rPr>
        <w:t>C</w:t>
      </w:r>
      <w:r w:rsidR="002E1154" w:rsidRPr="003542F3">
        <w:rPr>
          <w:rFonts w:ascii="Arial" w:hAnsi="Arial" w:cs="Arial"/>
          <w:color w:val="000000"/>
          <w:szCs w:val="20"/>
          <w:lang w:val="en-IN"/>
        </w:rPr>
        <w:t>CL</w:t>
      </w:r>
      <w:r w:rsidRPr="003542F3">
        <w:rPr>
          <w:rFonts w:ascii="Arial" w:hAnsi="Arial" w:cs="Arial"/>
          <w:color w:val="000000"/>
          <w:szCs w:val="20"/>
          <w:lang w:val="en-IN"/>
        </w:rPr>
        <w:t xml:space="preserve"> reserves the right to advise a </w:t>
      </w:r>
      <w:r w:rsidR="002C2965" w:rsidRPr="003542F3">
        <w:rPr>
          <w:rFonts w:ascii="Arial" w:hAnsi="Arial" w:cs="Arial"/>
          <w:color w:val="000000"/>
          <w:szCs w:val="20"/>
          <w:lang w:val="en-IN"/>
        </w:rPr>
        <w:t>me</w:t>
      </w:r>
      <w:r w:rsidRPr="003542F3">
        <w:rPr>
          <w:rFonts w:ascii="Arial" w:hAnsi="Arial" w:cs="Arial"/>
          <w:color w:val="000000"/>
          <w:szCs w:val="20"/>
          <w:lang w:val="en-IN"/>
        </w:rPr>
        <w:t>mber to change its auditor if quality of the report is not satisfactory or the audit is not carried out as per guidelines.</w:t>
      </w:r>
    </w:p>
    <w:p w14:paraId="06B557F4" w14:textId="77777777" w:rsidR="00A752D1" w:rsidRPr="003542F3" w:rsidRDefault="00A752D1" w:rsidP="00230F15">
      <w:pPr>
        <w:spacing w:line="240" w:lineRule="auto"/>
        <w:jc w:val="both"/>
        <w:rPr>
          <w:rFonts w:ascii="Arial" w:hAnsi="Arial" w:cs="Arial"/>
          <w:szCs w:val="20"/>
        </w:rPr>
      </w:pPr>
    </w:p>
    <w:sectPr w:rsidR="00A752D1" w:rsidRPr="003542F3" w:rsidSect="004000C9">
      <w:footerReference w:type="even" r:id="rId10"/>
      <w:footerReference w:type="default" r:id="rId11"/>
      <w:footerReference w:type="first" r:id="rId12"/>
      <w:pgSz w:w="12240" w:h="15840"/>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91FF4C" w14:textId="77777777" w:rsidR="00BA027A" w:rsidRDefault="00BA027A" w:rsidP="0079070F">
      <w:pPr>
        <w:spacing w:after="0" w:line="240" w:lineRule="auto"/>
      </w:pPr>
      <w:r>
        <w:separator/>
      </w:r>
    </w:p>
  </w:endnote>
  <w:endnote w:type="continuationSeparator" w:id="0">
    <w:p w14:paraId="37FE0C07" w14:textId="77777777" w:rsidR="00BA027A" w:rsidRDefault="00BA027A" w:rsidP="0079070F">
      <w:pPr>
        <w:spacing w:after="0" w:line="240" w:lineRule="auto"/>
      </w:pPr>
      <w:r>
        <w:continuationSeparator/>
      </w:r>
    </w:p>
  </w:endnote>
  <w:endnote w:type="continuationNotice" w:id="1">
    <w:p w14:paraId="7785C7F2" w14:textId="77777777" w:rsidR="00BA027A" w:rsidRDefault="00BA02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D95A59" w14:textId="7BCF9850" w:rsidR="006E56F8" w:rsidRDefault="006E56F8">
    <w:pPr>
      <w:pStyle w:val="Footer"/>
    </w:pPr>
    <w:r>
      <w:rPr>
        <w:noProof/>
      </w:rPr>
      <mc:AlternateContent>
        <mc:Choice Requires="wps">
          <w:drawing>
            <wp:anchor distT="0" distB="0" distL="0" distR="0" simplePos="0" relativeHeight="251658241" behindDoc="0" locked="0" layoutInCell="1" allowOverlap="1" wp14:anchorId="661335CA" wp14:editId="5654ED95">
              <wp:simplePos x="635" y="635"/>
              <wp:positionH relativeFrom="page">
                <wp:align>center</wp:align>
              </wp:positionH>
              <wp:positionV relativeFrom="page">
                <wp:align>bottom</wp:align>
              </wp:positionV>
              <wp:extent cx="443865" cy="443865"/>
              <wp:effectExtent l="0" t="0" r="12700" b="0"/>
              <wp:wrapNone/>
              <wp:docPr id="2058412929" name="Text Box 2058412929" descr="Non-Confidential">
                <a:extLst xmlns:a="http://schemas.openxmlformats.org/drawingml/2006/main">
                  <a:ext uri="{5AE41FA2-C0FF-4470-9BD4-5FADCA87CBE2}">
                    <aclsh:classification xmlns:cx1="http://schemas.microsoft.com/office/drawing/2015/9/8/chartex"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EEB383E" w14:textId="60D96B21" w:rsidR="006E56F8" w:rsidRPr="00BA66ED" w:rsidRDefault="006E56F8"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cx1="http://schemas.microsoft.com/office/drawing/2015/9/8/chartex">
          <w:pict>
            <v:shapetype w14:anchorId="661335CA" id="_x0000_t202" coordsize="21600,21600" o:spt="202" path="m,l,21600r21600,l21600,xe">
              <v:stroke joinstyle="miter"/>
              <v:path gradientshapeok="t" o:connecttype="rect"/>
            </v:shapetype>
            <v:shape id="Text Box 2058412929" o:spid="_x0000_s1026" type="#_x0000_t202" alt="Non-Confidential" style="position:absolute;margin-left:0;margin-top:0;width:34.95pt;height:34.9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il0qbwIAALoEAAAOAAAAZHJzL2Uyb0RvYy54bWysVN9v2jAQfp+0/8HyO03IQgtRQ5VCM01C&#10;tFKZ+mwcByIlPss2JGza/76zk3Rdt6dpL+Zyv++777i965qanIU2FciUTq9CSoTkUFTykNKvu3wy&#10;p8RYJgtWgxQpvQhD75YfP9y2KhERHKEuhCaYRJqkVSk9WquSIDD8KBpmrkAJicYSdMMsfupDUGjW&#10;YvamDqIwvA5a0IXSwIUxqF33Rrr0+ctScPtYlkZYUqcUe7P+1f7duzdY3rLkoJk6Vnxog/1DFw2r&#10;JBZ9TbVmlpGTrv5I1VRcg4HSXnFoAijLigs/A04zDd9N83xkSvhZEByjXmEy/y8t356fNKmKlEbh&#10;bB5Po0W0oESyBne1E50l99CRt6ZCGI74bUFOViDLqhDSVqz2w6P/xlgHg4v043+fZQ/xNM+iySrM&#10;80kc34STxf06nszybL3K5jer+4foh1tD4KN8fNAqk/jO3B69+KywTdthN8gy5+70BpWuWlfqxv0i&#10;nATtuOfL625dJxyVcfxpfj2jhKNpkPuiY7DSxn4W0BAnpFQjdfxQ7Iw99a6ji6slIa/qGvUsqeVv&#10;ChzEafwQfYeuV9vtu6HtPRQXnEZDz0ajeF5hzQ0z9olppB8OgCdlH/Epa2hTCoNEyRH0t7/pnT+y&#10;Aq2UtEjnlEq8N0rqLxLZ4pg/CnoU9l6YLsJZiHZ5alaARzLFe1Xci6jVth7FUkPzgseWuUJoYpJj&#10;uZTuR3Fl+7vCY+Uiy7wTklwxu5HPirvUDicH4q57YVoNSFtc0RZGrrPkHeC9r4s0KjtZhN1vw2Ha&#10;AzlAjQfiSTQcs7vAt9/e69dfzvInAAAA//8DAFBLAwQUAAYACAAAACEAN+3R+NkAAAADAQAADwAA&#10;AGRycy9kb3ducmV2LnhtbEyPQU/DMAyF70j8h8hI3FjKJiZWmk5oEqchpG1cuHmJ1xYap2rcrfv3&#10;BDiwi5+sZ733uViOvlVH6mMT2MD9JANFbINruDLwvnu5ewQVBdlhG5gMnCnCsry+KjB34cQbOm6l&#10;UimEY44GapEu1zramjzGSeiIk3cIvUdJa19p1+MphftWT7Nsrj02nBpq7GhVk/3aDt7Aw0Zehzfe&#10;zT7G6flz3a3s7LC2xtzejM9PoIRG+T+GH/yEDmVi2oeBXVStgfSI/M7kzRcLUPs/1WWhL9nLbwAA&#10;AP//AwBQSwECLQAUAAYACAAAACEAtoM4kv4AAADhAQAAEwAAAAAAAAAAAAAAAAAAAAAAW0NvbnRl&#10;bnRfVHlwZXNdLnhtbFBLAQItABQABgAIAAAAIQA4/SH/1gAAAJQBAAALAAAAAAAAAAAAAAAAAC8B&#10;AABfcmVscy8ucmVsc1BLAQItABQABgAIAAAAIQAVil0qbwIAALoEAAAOAAAAAAAAAAAAAAAAAC4C&#10;AABkcnMvZTJvRG9jLnhtbFBLAQItABQABgAIAAAAIQA37dH42QAAAAMBAAAPAAAAAAAAAAAAAAAA&#10;AMkEAABkcnMvZG93bnJldi54bWxQSwUGAAAAAAQABADzAAAAzwUAAAAA&#10;" filled="f" stroked="f">
              <v:textbox style="mso-fit-shape-to-text:t" inset="0,0,0,15pt">
                <w:txbxContent>
                  <w:p w14:paraId="3EEB383E" w14:textId="60D96B21" w:rsidR="006E56F8" w:rsidRPr="00BA66ED" w:rsidRDefault="006E56F8"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2169181"/>
      <w:docPartObj>
        <w:docPartGallery w:val="Page Numbers (Bottom of Page)"/>
        <w:docPartUnique/>
      </w:docPartObj>
    </w:sdtPr>
    <w:sdtEndPr>
      <w:rPr>
        <w:noProof/>
      </w:rPr>
    </w:sdtEndPr>
    <w:sdtContent>
      <w:p w14:paraId="5CAED60B" w14:textId="4C8F8DA0" w:rsidR="006E56F8" w:rsidRDefault="006E56F8">
        <w:pPr>
          <w:pStyle w:val="Footer"/>
          <w:jc w:val="center"/>
        </w:pPr>
        <w:r>
          <w:fldChar w:fldCharType="begin"/>
        </w:r>
        <w:r>
          <w:instrText xml:space="preserve"> PAGE   \* MERGEFORMAT </w:instrText>
        </w:r>
        <w:r>
          <w:fldChar w:fldCharType="separate"/>
        </w:r>
        <w:r w:rsidR="00367948">
          <w:rPr>
            <w:noProof/>
          </w:rPr>
          <w:t>1</w:t>
        </w:r>
        <w:r>
          <w:rPr>
            <w:noProof/>
          </w:rPr>
          <w:fldChar w:fldCharType="end"/>
        </w:r>
      </w:p>
    </w:sdtContent>
  </w:sdt>
  <w:p w14:paraId="0469B65B" w14:textId="3CE5F32D" w:rsidR="006E56F8" w:rsidRDefault="006E56F8">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6346A" w14:textId="2239F79C" w:rsidR="006E56F8" w:rsidRDefault="006E56F8">
    <w:pPr>
      <w:pStyle w:val="Footer"/>
    </w:pPr>
    <w:r>
      <w:rPr>
        <w:noProof/>
      </w:rPr>
      <mc:AlternateContent>
        <mc:Choice Requires="wps">
          <w:drawing>
            <wp:anchor distT="0" distB="0" distL="0" distR="0" simplePos="0" relativeHeight="251658240" behindDoc="0" locked="0" layoutInCell="1" allowOverlap="1" wp14:anchorId="24DCEF25" wp14:editId="51AE193B">
              <wp:simplePos x="635" y="635"/>
              <wp:positionH relativeFrom="page">
                <wp:align>center</wp:align>
              </wp:positionH>
              <wp:positionV relativeFrom="page">
                <wp:align>bottom</wp:align>
              </wp:positionV>
              <wp:extent cx="443865" cy="443865"/>
              <wp:effectExtent l="0" t="0" r="12700" b="0"/>
              <wp:wrapNone/>
              <wp:docPr id="103369912" name="Text Box 103369912" descr="Non-Confidential">
                <a:extLst xmlns:a="http://schemas.openxmlformats.org/drawingml/2006/main">
                  <a:ext uri="{5AE41FA2-C0FF-4470-9BD4-5FADCA87CBE2}">
                    <aclsh:classification xmlns:cx1="http://schemas.microsoft.com/office/drawing/2015/9/8/chartex" xmlns:aclsh="http://schemas.microsoft.com/office/drawing/2020/classificationShape"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6EEDF07" w14:textId="14EEBDED" w:rsidR="006E56F8" w:rsidRPr="00BA66ED" w:rsidRDefault="006E56F8"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cx1="http://schemas.microsoft.com/office/drawing/2015/9/8/chartex">
          <w:pict>
            <v:shapetype w14:anchorId="24DCEF25" id="_x0000_t202" coordsize="21600,21600" o:spt="202" path="m,l,21600r21600,l21600,xe">
              <v:stroke joinstyle="miter"/>
              <v:path gradientshapeok="t" o:connecttype="rect"/>
            </v:shapetype>
            <v:shape id="Text Box 103369912" o:spid="_x0000_s1027"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gpScAIAAL8EAAAOAAAAZHJzL2Uyb0RvYy54bWysVN9v2jAQfp+0/8HyOyRQoBA1VCk00yRE&#10;K8HUZ+M4JVLis2xDwqb97z07Ceu6PU17MZf7+d13d9zdN1VJzkKbAmRMR8OQEiE5ZIV8jem3fTqY&#10;U2IskxkrQYqYXoSh98vPn+5qFYkxHKHMhCaYRJqoVjE9WquiIDD8KCpmhqCERGMOumIWP/VrkGlW&#10;Y/aqDMZhOAtq0JnSwIUxqF23Rrr0+fNccPuU50ZYUsYUsVn/av8e3Bss71j0qpk6FryDwf4BRcUK&#10;iUWvqdbMMnLSxR+pqoJrMJDbIYcqgDwvuPA9YDej8EM3uyNTwveC5Bh1pcn8v7R8e37WpMhwduHN&#10;zWyxGI0pkazCUe1FY8kDNOSdJROGI3tbkIMVyLzIhLQFK33r6L4x1pHgAn3zP6bJ42SUJuPBKkzT&#10;wWRyGw4WD+vJYJom61Uyv109PI5/uiEEPsrHB7UykcflpujFnUKQtkEwiNO5O71BpavW5Lpyv0gm&#10;QTtO+XKdrEPCUTmZ3MxnU0o4mjq5LdoHK23sFwEVcUJMNS6Ob4qdEVPr2ru4WhLSoixRz6JS/qbA&#10;RpzGN9EidFhtc2halnv0B8gu2JSGdiWN4mmBpTfM2GemcQexD7wr+4RPXkIdU+gkSo6gv/9N7/xx&#10;NdBKSY07HVOJR0dJ+VXiyrj17wXdCwcvjBbhNES7PFUrwEsZ4dEq7kXUalv2Yq6hesGLS1whNDHJ&#10;sVxMD724su1x4cVykSTeCTddMbuRO8VdakeX43LfvDCtOsItTmoL/cKz6APvra+LNCo5WWTfD8VR&#10;2xLZMY5X4nepu2h3hu+/vdev/53lGwAAAP//AwBQSwMEFAAGAAgAAAAhADft0fjZAAAAAwEAAA8A&#10;AABkcnMvZG93bnJldi54bWxMj0FPwzAMhe9I/IfISNxYyiYmVppOaBKnIaRtXLh5idcWGqdq3K37&#10;9wQ4sIufrGe997lYjr5VR+pjE9jA/SQDRWyDa7gy8L57uXsEFQXZYRuYDJwpwrK8viowd+HEGzpu&#10;pVIphGOOBmqRLtc62po8xknoiJN3CL1HSWtfadfjKYX7Vk+zbK49NpwaauxoVZP92g7ewMNGXoc3&#10;3s0+xun5c92t7Oywtsbc3ozPT6CERvk/hh/8hA5lYtqHgV1UrYH0iPzO5M0XC1D7P9VloS/Zy28A&#10;AAD//wMAUEsBAi0AFAAGAAgAAAAhALaDOJL+AAAA4QEAABMAAAAAAAAAAAAAAAAAAAAAAFtDb250&#10;ZW50X1R5cGVzXS54bWxQSwECLQAUAAYACAAAACEAOP0h/9YAAACUAQAACwAAAAAAAAAAAAAAAAAv&#10;AQAAX3JlbHMvLnJlbHNQSwECLQAUAAYACAAAACEA8n4KUnACAAC/BAAADgAAAAAAAAAAAAAAAAAu&#10;AgAAZHJzL2Uyb0RvYy54bWxQSwECLQAUAAYACAAAACEAN+3R+NkAAAADAQAADwAAAAAAAAAAAAAA&#10;AADKBAAAZHJzL2Rvd25yZXYueG1sUEsFBgAAAAAEAAQA8wAAANAFAAAAAA==&#10;" filled="f" stroked="f">
              <v:textbox style="mso-fit-shape-to-text:t" inset="0,0,0,15pt">
                <w:txbxContent>
                  <w:p w14:paraId="06EEDF07" w14:textId="14EEBDED" w:rsidR="006E56F8" w:rsidRPr="00BA66ED" w:rsidRDefault="006E56F8" w:rsidP="00BA66ED">
                    <w:pPr>
                      <w:spacing w:after="0"/>
                      <w:rPr>
                        <w:rFonts w:ascii="Calibri" w:eastAsia="Calibri" w:hAnsi="Calibri" w:cs="Calibri"/>
                        <w:noProof/>
                        <w:color w:val="008000"/>
                        <w:sz w:val="20"/>
                        <w:szCs w:val="20"/>
                      </w:rPr>
                    </w:pPr>
                    <w:r w:rsidRPr="00BA66ED">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3FD8F1" w14:textId="77777777" w:rsidR="00BA027A" w:rsidRDefault="00BA027A" w:rsidP="0079070F">
      <w:pPr>
        <w:spacing w:after="0" w:line="240" w:lineRule="auto"/>
      </w:pPr>
      <w:r>
        <w:separator/>
      </w:r>
    </w:p>
  </w:footnote>
  <w:footnote w:type="continuationSeparator" w:id="0">
    <w:p w14:paraId="34DD7B5E" w14:textId="77777777" w:rsidR="00BA027A" w:rsidRDefault="00BA027A" w:rsidP="0079070F">
      <w:pPr>
        <w:spacing w:after="0" w:line="240" w:lineRule="auto"/>
      </w:pPr>
      <w:r>
        <w:continuationSeparator/>
      </w:r>
    </w:p>
  </w:footnote>
  <w:footnote w:type="continuationNotice" w:id="1">
    <w:p w14:paraId="3B8C5FB7" w14:textId="77777777" w:rsidR="00BA027A" w:rsidRDefault="00BA027A">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A3E52"/>
    <w:multiLevelType w:val="hybridMultilevel"/>
    <w:tmpl w:val="4F9A5002"/>
    <w:lvl w:ilvl="0" w:tplc="0409000F">
      <w:start w:val="1"/>
      <w:numFmt w:val="decimal"/>
      <w:lvlText w:val="%1."/>
      <w:lvlJc w:val="left"/>
      <w:pPr>
        <w:ind w:left="927" w:hanging="360"/>
      </w:p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 w15:restartNumberingAfterBreak="0">
    <w:nsid w:val="24796E14"/>
    <w:multiLevelType w:val="hybridMultilevel"/>
    <w:tmpl w:val="971EF4B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8E63F18"/>
    <w:multiLevelType w:val="hybridMultilevel"/>
    <w:tmpl w:val="407E8A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3C431EF"/>
    <w:multiLevelType w:val="hybridMultilevel"/>
    <w:tmpl w:val="CE0426B6"/>
    <w:lvl w:ilvl="0" w:tplc="40090019">
      <w:start w:val="1"/>
      <w:numFmt w:val="lowerLetter"/>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15:restartNumberingAfterBreak="0">
    <w:nsid w:val="355079AE"/>
    <w:multiLevelType w:val="hybridMultilevel"/>
    <w:tmpl w:val="07D0394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0152C98"/>
    <w:multiLevelType w:val="hybridMultilevel"/>
    <w:tmpl w:val="1D8A92CA"/>
    <w:lvl w:ilvl="0" w:tplc="4009000F">
      <w:start w:val="1"/>
      <w:numFmt w:val="decimal"/>
      <w:lvlText w:val="%1."/>
      <w:lvlJc w:val="left"/>
      <w:pPr>
        <w:ind w:left="360" w:hanging="360"/>
      </w:p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15:restartNumberingAfterBreak="0">
    <w:nsid w:val="70774965"/>
    <w:multiLevelType w:val="hybridMultilevel"/>
    <w:tmpl w:val="45ECCA0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B5C56BE"/>
    <w:multiLevelType w:val="hybridMultilevel"/>
    <w:tmpl w:val="12A24170"/>
    <w:lvl w:ilvl="0" w:tplc="4009000F">
      <w:start w:val="1"/>
      <w:numFmt w:val="decimal"/>
      <w:lvlText w:val="%1."/>
      <w:lvlJc w:val="lef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2"/>
  </w:num>
  <w:num w:numId="2">
    <w:abstractNumId w:val="1"/>
  </w:num>
  <w:num w:numId="3">
    <w:abstractNumId w:val="6"/>
  </w:num>
  <w:num w:numId="4">
    <w:abstractNumId w:val="0"/>
  </w:num>
  <w:num w:numId="5">
    <w:abstractNumId w:val="4"/>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B0"/>
    <w:rsid w:val="0000478C"/>
    <w:rsid w:val="00004CE5"/>
    <w:rsid w:val="0000789D"/>
    <w:rsid w:val="0001131A"/>
    <w:rsid w:val="00013ABE"/>
    <w:rsid w:val="00014581"/>
    <w:rsid w:val="00014A37"/>
    <w:rsid w:val="000175AB"/>
    <w:rsid w:val="00017B49"/>
    <w:rsid w:val="0002474F"/>
    <w:rsid w:val="00025202"/>
    <w:rsid w:val="00026F4A"/>
    <w:rsid w:val="00027EEF"/>
    <w:rsid w:val="00031057"/>
    <w:rsid w:val="00032112"/>
    <w:rsid w:val="00045EF0"/>
    <w:rsid w:val="00050164"/>
    <w:rsid w:val="00053353"/>
    <w:rsid w:val="0006261F"/>
    <w:rsid w:val="00064A88"/>
    <w:rsid w:val="00064AE3"/>
    <w:rsid w:val="000679A2"/>
    <w:rsid w:val="00070A7F"/>
    <w:rsid w:val="00072A6A"/>
    <w:rsid w:val="000834FA"/>
    <w:rsid w:val="00087F34"/>
    <w:rsid w:val="000947E1"/>
    <w:rsid w:val="00094C46"/>
    <w:rsid w:val="000951DF"/>
    <w:rsid w:val="00096E6C"/>
    <w:rsid w:val="000972FF"/>
    <w:rsid w:val="000A0FB6"/>
    <w:rsid w:val="000B0BA0"/>
    <w:rsid w:val="000B0D40"/>
    <w:rsid w:val="000B1893"/>
    <w:rsid w:val="000B2B99"/>
    <w:rsid w:val="000B45FB"/>
    <w:rsid w:val="000B4C6F"/>
    <w:rsid w:val="000B62AF"/>
    <w:rsid w:val="000C25A2"/>
    <w:rsid w:val="000C53EE"/>
    <w:rsid w:val="000C6051"/>
    <w:rsid w:val="000C6653"/>
    <w:rsid w:val="000D0D46"/>
    <w:rsid w:val="000D2CCD"/>
    <w:rsid w:val="000D56B8"/>
    <w:rsid w:val="000D6E1A"/>
    <w:rsid w:val="000E27A3"/>
    <w:rsid w:val="000E318E"/>
    <w:rsid w:val="000E3625"/>
    <w:rsid w:val="000E4181"/>
    <w:rsid w:val="000E5E07"/>
    <w:rsid w:val="000F0732"/>
    <w:rsid w:val="000F0839"/>
    <w:rsid w:val="000F0A40"/>
    <w:rsid w:val="000F17D4"/>
    <w:rsid w:val="000F1E42"/>
    <w:rsid w:val="000F48C5"/>
    <w:rsid w:val="00103162"/>
    <w:rsid w:val="00107523"/>
    <w:rsid w:val="00112291"/>
    <w:rsid w:val="001135FE"/>
    <w:rsid w:val="00115E66"/>
    <w:rsid w:val="001162B2"/>
    <w:rsid w:val="00116FC8"/>
    <w:rsid w:val="0012314C"/>
    <w:rsid w:val="00125CBC"/>
    <w:rsid w:val="00126740"/>
    <w:rsid w:val="00135211"/>
    <w:rsid w:val="00140EA6"/>
    <w:rsid w:val="00140F64"/>
    <w:rsid w:val="0014409A"/>
    <w:rsid w:val="0014618B"/>
    <w:rsid w:val="001578AD"/>
    <w:rsid w:val="00160182"/>
    <w:rsid w:val="001632CF"/>
    <w:rsid w:val="00163AD8"/>
    <w:rsid w:val="001707FC"/>
    <w:rsid w:val="00177C7A"/>
    <w:rsid w:val="0018238F"/>
    <w:rsid w:val="001829DB"/>
    <w:rsid w:val="001841E0"/>
    <w:rsid w:val="001911C2"/>
    <w:rsid w:val="0019279A"/>
    <w:rsid w:val="00193589"/>
    <w:rsid w:val="00197D71"/>
    <w:rsid w:val="001B1977"/>
    <w:rsid w:val="001B40CB"/>
    <w:rsid w:val="001B428C"/>
    <w:rsid w:val="001B5AB0"/>
    <w:rsid w:val="001C06F6"/>
    <w:rsid w:val="001C4BC1"/>
    <w:rsid w:val="001C5F1B"/>
    <w:rsid w:val="001D24AF"/>
    <w:rsid w:val="001D4CCA"/>
    <w:rsid w:val="001D62B1"/>
    <w:rsid w:val="001D7AFE"/>
    <w:rsid w:val="001E791A"/>
    <w:rsid w:val="001E7D93"/>
    <w:rsid w:val="001F7DD6"/>
    <w:rsid w:val="00201366"/>
    <w:rsid w:val="002113B4"/>
    <w:rsid w:val="002114A7"/>
    <w:rsid w:val="002222BE"/>
    <w:rsid w:val="0022335D"/>
    <w:rsid w:val="00230F15"/>
    <w:rsid w:val="002350DE"/>
    <w:rsid w:val="00235DA6"/>
    <w:rsid w:val="00235DCE"/>
    <w:rsid w:val="00244DE5"/>
    <w:rsid w:val="00245543"/>
    <w:rsid w:val="002461F0"/>
    <w:rsid w:val="00247569"/>
    <w:rsid w:val="00254F3C"/>
    <w:rsid w:val="00262274"/>
    <w:rsid w:val="002637CD"/>
    <w:rsid w:val="002714F9"/>
    <w:rsid w:val="0027367F"/>
    <w:rsid w:val="0027423D"/>
    <w:rsid w:val="002749B3"/>
    <w:rsid w:val="00274E5F"/>
    <w:rsid w:val="00280C44"/>
    <w:rsid w:val="002820C6"/>
    <w:rsid w:val="00283D9D"/>
    <w:rsid w:val="00284541"/>
    <w:rsid w:val="0028684A"/>
    <w:rsid w:val="00287441"/>
    <w:rsid w:val="00291BD1"/>
    <w:rsid w:val="002A6849"/>
    <w:rsid w:val="002B09BD"/>
    <w:rsid w:val="002B0A56"/>
    <w:rsid w:val="002B626F"/>
    <w:rsid w:val="002C2965"/>
    <w:rsid w:val="002D0BCF"/>
    <w:rsid w:val="002D14B6"/>
    <w:rsid w:val="002D3684"/>
    <w:rsid w:val="002D774C"/>
    <w:rsid w:val="002E1154"/>
    <w:rsid w:val="002E5C45"/>
    <w:rsid w:val="002E727D"/>
    <w:rsid w:val="002F0112"/>
    <w:rsid w:val="002F0682"/>
    <w:rsid w:val="002F1148"/>
    <w:rsid w:val="002F39B0"/>
    <w:rsid w:val="002F6BD9"/>
    <w:rsid w:val="002F6D01"/>
    <w:rsid w:val="0030283E"/>
    <w:rsid w:val="003041B3"/>
    <w:rsid w:val="00310DA4"/>
    <w:rsid w:val="00311E25"/>
    <w:rsid w:val="003120D7"/>
    <w:rsid w:val="00315CBD"/>
    <w:rsid w:val="00316A8A"/>
    <w:rsid w:val="00317422"/>
    <w:rsid w:val="003201F2"/>
    <w:rsid w:val="003258BB"/>
    <w:rsid w:val="00327E54"/>
    <w:rsid w:val="0033348E"/>
    <w:rsid w:val="0033479D"/>
    <w:rsid w:val="00335B24"/>
    <w:rsid w:val="00335ED5"/>
    <w:rsid w:val="00340960"/>
    <w:rsid w:val="0034511F"/>
    <w:rsid w:val="00352D25"/>
    <w:rsid w:val="0035378D"/>
    <w:rsid w:val="003542F3"/>
    <w:rsid w:val="003546A4"/>
    <w:rsid w:val="00355AC8"/>
    <w:rsid w:val="0036367E"/>
    <w:rsid w:val="0036508A"/>
    <w:rsid w:val="00367948"/>
    <w:rsid w:val="00370930"/>
    <w:rsid w:val="003849EA"/>
    <w:rsid w:val="00387EB8"/>
    <w:rsid w:val="0039167B"/>
    <w:rsid w:val="00397C1A"/>
    <w:rsid w:val="00397D88"/>
    <w:rsid w:val="003A195F"/>
    <w:rsid w:val="003A3174"/>
    <w:rsid w:val="003B5382"/>
    <w:rsid w:val="003B6719"/>
    <w:rsid w:val="003C20F2"/>
    <w:rsid w:val="003E123B"/>
    <w:rsid w:val="003E26ED"/>
    <w:rsid w:val="003F3415"/>
    <w:rsid w:val="004000C9"/>
    <w:rsid w:val="00400D5F"/>
    <w:rsid w:val="00420DFC"/>
    <w:rsid w:val="00431617"/>
    <w:rsid w:val="004351C9"/>
    <w:rsid w:val="0043603C"/>
    <w:rsid w:val="00437A27"/>
    <w:rsid w:val="00437D24"/>
    <w:rsid w:val="00440E5D"/>
    <w:rsid w:val="00441D87"/>
    <w:rsid w:val="00450FA0"/>
    <w:rsid w:val="00453A0E"/>
    <w:rsid w:val="0046033E"/>
    <w:rsid w:val="00461E9D"/>
    <w:rsid w:val="00461F98"/>
    <w:rsid w:val="00472012"/>
    <w:rsid w:val="00474F72"/>
    <w:rsid w:val="00482FD1"/>
    <w:rsid w:val="00486808"/>
    <w:rsid w:val="00487602"/>
    <w:rsid w:val="00487C8D"/>
    <w:rsid w:val="00491404"/>
    <w:rsid w:val="00495692"/>
    <w:rsid w:val="00497265"/>
    <w:rsid w:val="004A08A1"/>
    <w:rsid w:val="004A195B"/>
    <w:rsid w:val="004A1F81"/>
    <w:rsid w:val="004B3436"/>
    <w:rsid w:val="004B44A5"/>
    <w:rsid w:val="004B46B0"/>
    <w:rsid w:val="004B5395"/>
    <w:rsid w:val="004C2472"/>
    <w:rsid w:val="004C54B1"/>
    <w:rsid w:val="004D2CD8"/>
    <w:rsid w:val="004D303A"/>
    <w:rsid w:val="004D3FB4"/>
    <w:rsid w:val="004D7958"/>
    <w:rsid w:val="004E1BFE"/>
    <w:rsid w:val="004E3F68"/>
    <w:rsid w:val="004F2645"/>
    <w:rsid w:val="004F32D1"/>
    <w:rsid w:val="004F48E1"/>
    <w:rsid w:val="00502914"/>
    <w:rsid w:val="0050327A"/>
    <w:rsid w:val="00503F6B"/>
    <w:rsid w:val="00506A3E"/>
    <w:rsid w:val="00510A01"/>
    <w:rsid w:val="00511AFF"/>
    <w:rsid w:val="00511CC1"/>
    <w:rsid w:val="00512A72"/>
    <w:rsid w:val="00514EA2"/>
    <w:rsid w:val="00515938"/>
    <w:rsid w:val="00517B03"/>
    <w:rsid w:val="00521529"/>
    <w:rsid w:val="00522D15"/>
    <w:rsid w:val="005254D5"/>
    <w:rsid w:val="00526757"/>
    <w:rsid w:val="00533AF1"/>
    <w:rsid w:val="00536253"/>
    <w:rsid w:val="00540B67"/>
    <w:rsid w:val="00550A58"/>
    <w:rsid w:val="00553011"/>
    <w:rsid w:val="00554D40"/>
    <w:rsid w:val="00557749"/>
    <w:rsid w:val="005601D7"/>
    <w:rsid w:val="005618AD"/>
    <w:rsid w:val="00561BB5"/>
    <w:rsid w:val="00562133"/>
    <w:rsid w:val="005636F1"/>
    <w:rsid w:val="00565883"/>
    <w:rsid w:val="0056776C"/>
    <w:rsid w:val="00570AC4"/>
    <w:rsid w:val="00571E79"/>
    <w:rsid w:val="00573F6B"/>
    <w:rsid w:val="00575A0B"/>
    <w:rsid w:val="00585EFC"/>
    <w:rsid w:val="005941EC"/>
    <w:rsid w:val="005959B8"/>
    <w:rsid w:val="005A0514"/>
    <w:rsid w:val="005A5144"/>
    <w:rsid w:val="005A5576"/>
    <w:rsid w:val="005B0A61"/>
    <w:rsid w:val="005B52BE"/>
    <w:rsid w:val="005C01BC"/>
    <w:rsid w:val="005C0213"/>
    <w:rsid w:val="005C068C"/>
    <w:rsid w:val="005C4038"/>
    <w:rsid w:val="005C4162"/>
    <w:rsid w:val="005C5C0A"/>
    <w:rsid w:val="005D1C46"/>
    <w:rsid w:val="005D4A57"/>
    <w:rsid w:val="005E1AF1"/>
    <w:rsid w:val="005E2E1B"/>
    <w:rsid w:val="005E3EAA"/>
    <w:rsid w:val="005F01D7"/>
    <w:rsid w:val="00600184"/>
    <w:rsid w:val="00601A73"/>
    <w:rsid w:val="00603D72"/>
    <w:rsid w:val="0060714E"/>
    <w:rsid w:val="006111A5"/>
    <w:rsid w:val="0061308E"/>
    <w:rsid w:val="00616912"/>
    <w:rsid w:val="006279D8"/>
    <w:rsid w:val="00627CAE"/>
    <w:rsid w:val="0063218B"/>
    <w:rsid w:val="00640932"/>
    <w:rsid w:val="00641162"/>
    <w:rsid w:val="006455AB"/>
    <w:rsid w:val="0064567C"/>
    <w:rsid w:val="00645B40"/>
    <w:rsid w:val="00647154"/>
    <w:rsid w:val="00650312"/>
    <w:rsid w:val="006503CC"/>
    <w:rsid w:val="00657A79"/>
    <w:rsid w:val="0066091F"/>
    <w:rsid w:val="00660D3C"/>
    <w:rsid w:val="00662A70"/>
    <w:rsid w:val="00666AC8"/>
    <w:rsid w:val="00667107"/>
    <w:rsid w:val="00674DE0"/>
    <w:rsid w:val="0067512B"/>
    <w:rsid w:val="00676101"/>
    <w:rsid w:val="00692D25"/>
    <w:rsid w:val="00693C5D"/>
    <w:rsid w:val="00693F96"/>
    <w:rsid w:val="006967CC"/>
    <w:rsid w:val="006976ED"/>
    <w:rsid w:val="006A0C7C"/>
    <w:rsid w:val="006B556E"/>
    <w:rsid w:val="006B590F"/>
    <w:rsid w:val="006C3F83"/>
    <w:rsid w:val="006C541B"/>
    <w:rsid w:val="006D0E67"/>
    <w:rsid w:val="006D1D3C"/>
    <w:rsid w:val="006D7CBC"/>
    <w:rsid w:val="006E54C2"/>
    <w:rsid w:val="006E56F8"/>
    <w:rsid w:val="006E6ABE"/>
    <w:rsid w:val="006F069C"/>
    <w:rsid w:val="006F721C"/>
    <w:rsid w:val="00702256"/>
    <w:rsid w:val="00711076"/>
    <w:rsid w:val="00713FFA"/>
    <w:rsid w:val="00715130"/>
    <w:rsid w:val="007157DB"/>
    <w:rsid w:val="00721C82"/>
    <w:rsid w:val="00722A33"/>
    <w:rsid w:val="00722D3C"/>
    <w:rsid w:val="00724796"/>
    <w:rsid w:val="00725BAC"/>
    <w:rsid w:val="00736A5F"/>
    <w:rsid w:val="00741206"/>
    <w:rsid w:val="00750397"/>
    <w:rsid w:val="007525AE"/>
    <w:rsid w:val="00753EAD"/>
    <w:rsid w:val="00754228"/>
    <w:rsid w:val="007619F2"/>
    <w:rsid w:val="00764D78"/>
    <w:rsid w:val="00767EA0"/>
    <w:rsid w:val="00776892"/>
    <w:rsid w:val="00781005"/>
    <w:rsid w:val="00783415"/>
    <w:rsid w:val="0078640B"/>
    <w:rsid w:val="0079043F"/>
    <w:rsid w:val="0079070F"/>
    <w:rsid w:val="007942BF"/>
    <w:rsid w:val="00794789"/>
    <w:rsid w:val="007A0061"/>
    <w:rsid w:val="007A028E"/>
    <w:rsid w:val="007A287B"/>
    <w:rsid w:val="007A395B"/>
    <w:rsid w:val="007B3E7E"/>
    <w:rsid w:val="007B541B"/>
    <w:rsid w:val="007B5683"/>
    <w:rsid w:val="007C2C62"/>
    <w:rsid w:val="007C4168"/>
    <w:rsid w:val="007C4A66"/>
    <w:rsid w:val="007C4CCD"/>
    <w:rsid w:val="007C513B"/>
    <w:rsid w:val="007C6C41"/>
    <w:rsid w:val="007D0220"/>
    <w:rsid w:val="007E6AB7"/>
    <w:rsid w:val="007F12D7"/>
    <w:rsid w:val="007F4490"/>
    <w:rsid w:val="007F6A31"/>
    <w:rsid w:val="00801A89"/>
    <w:rsid w:val="00803F3A"/>
    <w:rsid w:val="00810130"/>
    <w:rsid w:val="00814AAA"/>
    <w:rsid w:val="008230AD"/>
    <w:rsid w:val="00831918"/>
    <w:rsid w:val="00836E0A"/>
    <w:rsid w:val="00837620"/>
    <w:rsid w:val="008418BD"/>
    <w:rsid w:val="00841A94"/>
    <w:rsid w:val="0084226C"/>
    <w:rsid w:val="00860E22"/>
    <w:rsid w:val="008638A8"/>
    <w:rsid w:val="00871A50"/>
    <w:rsid w:val="0088035E"/>
    <w:rsid w:val="00880946"/>
    <w:rsid w:val="00880D5D"/>
    <w:rsid w:val="008817F1"/>
    <w:rsid w:val="00886B12"/>
    <w:rsid w:val="00886D0E"/>
    <w:rsid w:val="00890262"/>
    <w:rsid w:val="008903F6"/>
    <w:rsid w:val="00891E49"/>
    <w:rsid w:val="008937D9"/>
    <w:rsid w:val="00893DE3"/>
    <w:rsid w:val="00896F44"/>
    <w:rsid w:val="008A23CE"/>
    <w:rsid w:val="008A2557"/>
    <w:rsid w:val="008B2191"/>
    <w:rsid w:val="008B2AA2"/>
    <w:rsid w:val="008B5861"/>
    <w:rsid w:val="008C4458"/>
    <w:rsid w:val="008D242B"/>
    <w:rsid w:val="008D2BD8"/>
    <w:rsid w:val="008D41F5"/>
    <w:rsid w:val="008D57CC"/>
    <w:rsid w:val="008E1BC0"/>
    <w:rsid w:val="008E3F91"/>
    <w:rsid w:val="008E4352"/>
    <w:rsid w:val="008E5E2B"/>
    <w:rsid w:val="008F3FE8"/>
    <w:rsid w:val="008F653F"/>
    <w:rsid w:val="0090135F"/>
    <w:rsid w:val="0090151A"/>
    <w:rsid w:val="009040CA"/>
    <w:rsid w:val="00905678"/>
    <w:rsid w:val="00907727"/>
    <w:rsid w:val="009100EC"/>
    <w:rsid w:val="00915485"/>
    <w:rsid w:val="00921BB0"/>
    <w:rsid w:val="00922B85"/>
    <w:rsid w:val="0092389E"/>
    <w:rsid w:val="009245C7"/>
    <w:rsid w:val="0092609E"/>
    <w:rsid w:val="00926B4A"/>
    <w:rsid w:val="009354F4"/>
    <w:rsid w:val="009410FF"/>
    <w:rsid w:val="0094220E"/>
    <w:rsid w:val="0094679F"/>
    <w:rsid w:val="0094723C"/>
    <w:rsid w:val="00953936"/>
    <w:rsid w:val="0096590C"/>
    <w:rsid w:val="009722DB"/>
    <w:rsid w:val="009809AD"/>
    <w:rsid w:val="00982FD5"/>
    <w:rsid w:val="00984B27"/>
    <w:rsid w:val="00985A28"/>
    <w:rsid w:val="009902EE"/>
    <w:rsid w:val="0099243D"/>
    <w:rsid w:val="009959A8"/>
    <w:rsid w:val="009A00E4"/>
    <w:rsid w:val="009A246B"/>
    <w:rsid w:val="009A71C8"/>
    <w:rsid w:val="009A7944"/>
    <w:rsid w:val="009B14E0"/>
    <w:rsid w:val="009B6DCB"/>
    <w:rsid w:val="009C0454"/>
    <w:rsid w:val="009C0541"/>
    <w:rsid w:val="009C7B39"/>
    <w:rsid w:val="009D034E"/>
    <w:rsid w:val="009D5422"/>
    <w:rsid w:val="009D54E8"/>
    <w:rsid w:val="009D6EE5"/>
    <w:rsid w:val="009D722A"/>
    <w:rsid w:val="009D7CC6"/>
    <w:rsid w:val="009E26CC"/>
    <w:rsid w:val="009E3D86"/>
    <w:rsid w:val="009E51CF"/>
    <w:rsid w:val="009F5762"/>
    <w:rsid w:val="009F7A39"/>
    <w:rsid w:val="00A011A9"/>
    <w:rsid w:val="00A02C8D"/>
    <w:rsid w:val="00A13B02"/>
    <w:rsid w:val="00A14F28"/>
    <w:rsid w:val="00A1527D"/>
    <w:rsid w:val="00A160BB"/>
    <w:rsid w:val="00A20747"/>
    <w:rsid w:val="00A20B69"/>
    <w:rsid w:val="00A264CF"/>
    <w:rsid w:val="00A27BA8"/>
    <w:rsid w:val="00A32B44"/>
    <w:rsid w:val="00A33ABB"/>
    <w:rsid w:val="00A343D2"/>
    <w:rsid w:val="00A4181E"/>
    <w:rsid w:val="00A42A6A"/>
    <w:rsid w:val="00A43921"/>
    <w:rsid w:val="00A462AC"/>
    <w:rsid w:val="00A50AD1"/>
    <w:rsid w:val="00A60696"/>
    <w:rsid w:val="00A63565"/>
    <w:rsid w:val="00A63D1A"/>
    <w:rsid w:val="00A70CAB"/>
    <w:rsid w:val="00A736A1"/>
    <w:rsid w:val="00A74049"/>
    <w:rsid w:val="00A74881"/>
    <w:rsid w:val="00A752D1"/>
    <w:rsid w:val="00A82A72"/>
    <w:rsid w:val="00A8495D"/>
    <w:rsid w:val="00A96FDF"/>
    <w:rsid w:val="00A9747D"/>
    <w:rsid w:val="00AC5C76"/>
    <w:rsid w:val="00AD3487"/>
    <w:rsid w:val="00AD6882"/>
    <w:rsid w:val="00AE71B7"/>
    <w:rsid w:val="00AF0079"/>
    <w:rsid w:val="00AF065A"/>
    <w:rsid w:val="00AF3B9C"/>
    <w:rsid w:val="00AF59DA"/>
    <w:rsid w:val="00AF75BF"/>
    <w:rsid w:val="00B0037D"/>
    <w:rsid w:val="00B0302B"/>
    <w:rsid w:val="00B06DCE"/>
    <w:rsid w:val="00B21632"/>
    <w:rsid w:val="00B24722"/>
    <w:rsid w:val="00B24D7C"/>
    <w:rsid w:val="00B26EBC"/>
    <w:rsid w:val="00B33017"/>
    <w:rsid w:val="00B3429E"/>
    <w:rsid w:val="00B416BF"/>
    <w:rsid w:val="00B439E8"/>
    <w:rsid w:val="00B548CD"/>
    <w:rsid w:val="00B57095"/>
    <w:rsid w:val="00B62A81"/>
    <w:rsid w:val="00B64F63"/>
    <w:rsid w:val="00B679D8"/>
    <w:rsid w:val="00B67C96"/>
    <w:rsid w:val="00B70A00"/>
    <w:rsid w:val="00B70DE7"/>
    <w:rsid w:val="00B81E50"/>
    <w:rsid w:val="00B82B2B"/>
    <w:rsid w:val="00B86A16"/>
    <w:rsid w:val="00B90B12"/>
    <w:rsid w:val="00B938EE"/>
    <w:rsid w:val="00B946DA"/>
    <w:rsid w:val="00B95301"/>
    <w:rsid w:val="00B96E17"/>
    <w:rsid w:val="00BA027A"/>
    <w:rsid w:val="00BA0280"/>
    <w:rsid w:val="00BA23C6"/>
    <w:rsid w:val="00BA3377"/>
    <w:rsid w:val="00BA59A9"/>
    <w:rsid w:val="00BA66ED"/>
    <w:rsid w:val="00BB607F"/>
    <w:rsid w:val="00BB698C"/>
    <w:rsid w:val="00BB7401"/>
    <w:rsid w:val="00BC0CAF"/>
    <w:rsid w:val="00BC20E8"/>
    <w:rsid w:val="00BD2E1B"/>
    <w:rsid w:val="00BD30DB"/>
    <w:rsid w:val="00BD667D"/>
    <w:rsid w:val="00BE016E"/>
    <w:rsid w:val="00BE3C28"/>
    <w:rsid w:val="00BE3C51"/>
    <w:rsid w:val="00BF016C"/>
    <w:rsid w:val="00BF1D86"/>
    <w:rsid w:val="00BF4287"/>
    <w:rsid w:val="00BF49A5"/>
    <w:rsid w:val="00BF7F0E"/>
    <w:rsid w:val="00C0344F"/>
    <w:rsid w:val="00C04549"/>
    <w:rsid w:val="00C04B23"/>
    <w:rsid w:val="00C066BF"/>
    <w:rsid w:val="00C120EF"/>
    <w:rsid w:val="00C137A3"/>
    <w:rsid w:val="00C1615A"/>
    <w:rsid w:val="00C16323"/>
    <w:rsid w:val="00C2075B"/>
    <w:rsid w:val="00C21446"/>
    <w:rsid w:val="00C318E8"/>
    <w:rsid w:val="00C35223"/>
    <w:rsid w:val="00C35755"/>
    <w:rsid w:val="00C431E6"/>
    <w:rsid w:val="00C47EA5"/>
    <w:rsid w:val="00C52B58"/>
    <w:rsid w:val="00C54049"/>
    <w:rsid w:val="00C5600E"/>
    <w:rsid w:val="00C600A8"/>
    <w:rsid w:val="00C67520"/>
    <w:rsid w:val="00C74683"/>
    <w:rsid w:val="00C8151B"/>
    <w:rsid w:val="00C90AD2"/>
    <w:rsid w:val="00C9159B"/>
    <w:rsid w:val="00C9211C"/>
    <w:rsid w:val="00CA7936"/>
    <w:rsid w:val="00CB2956"/>
    <w:rsid w:val="00CB7986"/>
    <w:rsid w:val="00CC3C70"/>
    <w:rsid w:val="00CC42C8"/>
    <w:rsid w:val="00CC6606"/>
    <w:rsid w:val="00CD25DB"/>
    <w:rsid w:val="00CD4CD6"/>
    <w:rsid w:val="00CD64E4"/>
    <w:rsid w:val="00CE20AA"/>
    <w:rsid w:val="00CE43A2"/>
    <w:rsid w:val="00CE482B"/>
    <w:rsid w:val="00CE62BD"/>
    <w:rsid w:val="00CE79A5"/>
    <w:rsid w:val="00CF1516"/>
    <w:rsid w:val="00CF26EC"/>
    <w:rsid w:val="00CF30F1"/>
    <w:rsid w:val="00CF4417"/>
    <w:rsid w:val="00D009F2"/>
    <w:rsid w:val="00D02EEB"/>
    <w:rsid w:val="00D07323"/>
    <w:rsid w:val="00D07CC7"/>
    <w:rsid w:val="00D205B5"/>
    <w:rsid w:val="00D21706"/>
    <w:rsid w:val="00D229BB"/>
    <w:rsid w:val="00D23DC1"/>
    <w:rsid w:val="00D2792F"/>
    <w:rsid w:val="00D27A8A"/>
    <w:rsid w:val="00D416CD"/>
    <w:rsid w:val="00D421F2"/>
    <w:rsid w:val="00D434F3"/>
    <w:rsid w:val="00D44241"/>
    <w:rsid w:val="00D53A6A"/>
    <w:rsid w:val="00D54CD3"/>
    <w:rsid w:val="00D554A7"/>
    <w:rsid w:val="00D600AE"/>
    <w:rsid w:val="00D61734"/>
    <w:rsid w:val="00D63217"/>
    <w:rsid w:val="00D81700"/>
    <w:rsid w:val="00D82989"/>
    <w:rsid w:val="00D84C47"/>
    <w:rsid w:val="00D856DA"/>
    <w:rsid w:val="00D85D3A"/>
    <w:rsid w:val="00D90DFA"/>
    <w:rsid w:val="00D91940"/>
    <w:rsid w:val="00D925A9"/>
    <w:rsid w:val="00D96B51"/>
    <w:rsid w:val="00D974E3"/>
    <w:rsid w:val="00DA0D08"/>
    <w:rsid w:val="00DB28E5"/>
    <w:rsid w:val="00DB3851"/>
    <w:rsid w:val="00DB4356"/>
    <w:rsid w:val="00DB6C85"/>
    <w:rsid w:val="00DB7251"/>
    <w:rsid w:val="00DC2120"/>
    <w:rsid w:val="00DC3420"/>
    <w:rsid w:val="00DC61C4"/>
    <w:rsid w:val="00DD14C2"/>
    <w:rsid w:val="00DD5255"/>
    <w:rsid w:val="00DD52F7"/>
    <w:rsid w:val="00DD6F23"/>
    <w:rsid w:val="00DE1D11"/>
    <w:rsid w:val="00DF0F83"/>
    <w:rsid w:val="00DF47D9"/>
    <w:rsid w:val="00E018AE"/>
    <w:rsid w:val="00E0491C"/>
    <w:rsid w:val="00E05661"/>
    <w:rsid w:val="00E16F6D"/>
    <w:rsid w:val="00E228B1"/>
    <w:rsid w:val="00E2434E"/>
    <w:rsid w:val="00E246CD"/>
    <w:rsid w:val="00E24749"/>
    <w:rsid w:val="00E426DC"/>
    <w:rsid w:val="00E43F03"/>
    <w:rsid w:val="00E457D5"/>
    <w:rsid w:val="00E53DAE"/>
    <w:rsid w:val="00E57831"/>
    <w:rsid w:val="00E57B1F"/>
    <w:rsid w:val="00E6798C"/>
    <w:rsid w:val="00E72C3A"/>
    <w:rsid w:val="00E73A85"/>
    <w:rsid w:val="00E838EC"/>
    <w:rsid w:val="00E839B3"/>
    <w:rsid w:val="00E950F6"/>
    <w:rsid w:val="00E9525C"/>
    <w:rsid w:val="00E959DC"/>
    <w:rsid w:val="00E9698B"/>
    <w:rsid w:val="00E975F7"/>
    <w:rsid w:val="00EA080A"/>
    <w:rsid w:val="00EA392F"/>
    <w:rsid w:val="00EA6A2F"/>
    <w:rsid w:val="00EA7276"/>
    <w:rsid w:val="00EB0442"/>
    <w:rsid w:val="00EB4EC7"/>
    <w:rsid w:val="00EB605B"/>
    <w:rsid w:val="00EC14EF"/>
    <w:rsid w:val="00EC5501"/>
    <w:rsid w:val="00ED01DF"/>
    <w:rsid w:val="00ED250B"/>
    <w:rsid w:val="00ED49D0"/>
    <w:rsid w:val="00EE5DEA"/>
    <w:rsid w:val="00EE62E9"/>
    <w:rsid w:val="00EE6B81"/>
    <w:rsid w:val="00EF12BF"/>
    <w:rsid w:val="00F021CE"/>
    <w:rsid w:val="00F062ED"/>
    <w:rsid w:val="00F11D1A"/>
    <w:rsid w:val="00F16EE2"/>
    <w:rsid w:val="00F210AD"/>
    <w:rsid w:val="00F22B25"/>
    <w:rsid w:val="00F25E3C"/>
    <w:rsid w:val="00F30628"/>
    <w:rsid w:val="00F32766"/>
    <w:rsid w:val="00F35E38"/>
    <w:rsid w:val="00F414DF"/>
    <w:rsid w:val="00F4540D"/>
    <w:rsid w:val="00F4615E"/>
    <w:rsid w:val="00F47911"/>
    <w:rsid w:val="00F53449"/>
    <w:rsid w:val="00F53C31"/>
    <w:rsid w:val="00F55CDA"/>
    <w:rsid w:val="00F566B8"/>
    <w:rsid w:val="00F5754B"/>
    <w:rsid w:val="00F615C2"/>
    <w:rsid w:val="00F62568"/>
    <w:rsid w:val="00F645A9"/>
    <w:rsid w:val="00F67D82"/>
    <w:rsid w:val="00F70920"/>
    <w:rsid w:val="00F717ED"/>
    <w:rsid w:val="00F77C33"/>
    <w:rsid w:val="00F8124D"/>
    <w:rsid w:val="00F86348"/>
    <w:rsid w:val="00F86A28"/>
    <w:rsid w:val="00F86D32"/>
    <w:rsid w:val="00F876D9"/>
    <w:rsid w:val="00F911D9"/>
    <w:rsid w:val="00F92A2E"/>
    <w:rsid w:val="00F932EF"/>
    <w:rsid w:val="00FA36EC"/>
    <w:rsid w:val="00FA7A4F"/>
    <w:rsid w:val="00FB190B"/>
    <w:rsid w:val="00FB54A9"/>
    <w:rsid w:val="00FC31B2"/>
    <w:rsid w:val="00FC7EFC"/>
    <w:rsid w:val="00FD3537"/>
    <w:rsid w:val="00FD50CD"/>
    <w:rsid w:val="00FD60F2"/>
    <w:rsid w:val="00FE1BEA"/>
    <w:rsid w:val="00FE5FD4"/>
    <w:rsid w:val="00FF10E2"/>
    <w:rsid w:val="00FF42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A046E0"/>
  <w15:chartTrackingRefBased/>
  <w15:docId w15:val="{4553AE56-065B-4918-8D5C-61525D860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7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70F"/>
  </w:style>
  <w:style w:type="paragraph" w:styleId="Footer">
    <w:name w:val="footer"/>
    <w:basedOn w:val="Normal"/>
    <w:link w:val="FooterChar"/>
    <w:uiPriority w:val="99"/>
    <w:unhideWhenUsed/>
    <w:rsid w:val="007907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70F"/>
  </w:style>
  <w:style w:type="table" w:styleId="TableGrid">
    <w:name w:val="Table Grid"/>
    <w:basedOn w:val="TableNormal"/>
    <w:uiPriority w:val="39"/>
    <w:rsid w:val="007907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9070F"/>
    <w:pPr>
      <w:ind w:left="720"/>
      <w:contextualSpacing/>
    </w:pPr>
  </w:style>
  <w:style w:type="character" w:customStyle="1" w:styleId="ui-provider">
    <w:name w:val="ui-provider"/>
    <w:basedOn w:val="DefaultParagraphFont"/>
    <w:rsid w:val="00D421F2"/>
  </w:style>
  <w:style w:type="character" w:styleId="CommentReference">
    <w:name w:val="annotation reference"/>
    <w:basedOn w:val="DefaultParagraphFont"/>
    <w:uiPriority w:val="99"/>
    <w:semiHidden/>
    <w:unhideWhenUsed/>
    <w:rsid w:val="00F53449"/>
    <w:rPr>
      <w:sz w:val="16"/>
      <w:szCs w:val="16"/>
    </w:rPr>
  </w:style>
  <w:style w:type="paragraph" w:styleId="CommentText">
    <w:name w:val="annotation text"/>
    <w:basedOn w:val="Normal"/>
    <w:link w:val="CommentTextChar"/>
    <w:uiPriority w:val="99"/>
    <w:unhideWhenUsed/>
    <w:rsid w:val="00F53449"/>
    <w:pPr>
      <w:spacing w:line="240" w:lineRule="auto"/>
    </w:pPr>
    <w:rPr>
      <w:sz w:val="20"/>
      <w:szCs w:val="20"/>
    </w:rPr>
  </w:style>
  <w:style w:type="character" w:customStyle="1" w:styleId="CommentTextChar">
    <w:name w:val="Comment Text Char"/>
    <w:basedOn w:val="DefaultParagraphFont"/>
    <w:link w:val="CommentText"/>
    <w:uiPriority w:val="99"/>
    <w:rsid w:val="00F53449"/>
    <w:rPr>
      <w:sz w:val="20"/>
      <w:szCs w:val="20"/>
    </w:rPr>
  </w:style>
  <w:style w:type="paragraph" w:styleId="CommentSubject">
    <w:name w:val="annotation subject"/>
    <w:basedOn w:val="CommentText"/>
    <w:next w:val="CommentText"/>
    <w:link w:val="CommentSubjectChar"/>
    <w:uiPriority w:val="99"/>
    <w:semiHidden/>
    <w:unhideWhenUsed/>
    <w:rsid w:val="00F53449"/>
    <w:rPr>
      <w:b/>
      <w:bCs/>
    </w:rPr>
  </w:style>
  <w:style w:type="character" w:customStyle="1" w:styleId="CommentSubjectChar">
    <w:name w:val="Comment Subject Char"/>
    <w:basedOn w:val="CommentTextChar"/>
    <w:link w:val="CommentSubject"/>
    <w:uiPriority w:val="99"/>
    <w:semiHidden/>
    <w:rsid w:val="00F53449"/>
    <w:rPr>
      <w:b/>
      <w:bCs/>
      <w:sz w:val="20"/>
      <w:szCs w:val="20"/>
    </w:rPr>
  </w:style>
  <w:style w:type="paragraph" w:customStyle="1" w:styleId="Default">
    <w:name w:val="Default"/>
    <w:rsid w:val="00E950F6"/>
    <w:pPr>
      <w:autoSpaceDE w:val="0"/>
      <w:autoSpaceDN w:val="0"/>
      <w:adjustRightInd w:val="0"/>
      <w:spacing w:after="0" w:line="240" w:lineRule="auto"/>
    </w:pPr>
    <w:rPr>
      <w:rFonts w:ascii="Arial" w:hAnsi="Arial" w:cs="Arial"/>
      <w:color w:val="000000"/>
      <w:sz w:val="24"/>
      <w:szCs w:val="24"/>
      <w:lang w:val="en-IN"/>
    </w:rPr>
  </w:style>
  <w:style w:type="paragraph" w:styleId="BalloonText">
    <w:name w:val="Balloon Text"/>
    <w:basedOn w:val="Normal"/>
    <w:link w:val="BalloonTextChar"/>
    <w:uiPriority w:val="99"/>
    <w:semiHidden/>
    <w:unhideWhenUsed/>
    <w:rsid w:val="00561B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BB5"/>
    <w:rPr>
      <w:rFonts w:ascii="Segoe UI" w:hAnsi="Segoe UI" w:cs="Segoe UI"/>
      <w:sz w:val="18"/>
      <w:szCs w:val="18"/>
    </w:rPr>
  </w:style>
  <w:style w:type="paragraph" w:styleId="Revision">
    <w:name w:val="Revision"/>
    <w:hidden/>
    <w:uiPriority w:val="99"/>
    <w:semiHidden/>
    <w:rsid w:val="005362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836230">
      <w:bodyDiv w:val="1"/>
      <w:marLeft w:val="0"/>
      <w:marRight w:val="0"/>
      <w:marTop w:val="0"/>
      <w:marBottom w:val="0"/>
      <w:divBdr>
        <w:top w:val="none" w:sz="0" w:space="0" w:color="auto"/>
        <w:left w:val="none" w:sz="0" w:space="0" w:color="auto"/>
        <w:bottom w:val="none" w:sz="0" w:space="0" w:color="auto"/>
        <w:right w:val="none" w:sz="0" w:space="0" w:color="auto"/>
      </w:divBdr>
    </w:div>
    <w:div w:id="215315336">
      <w:bodyDiv w:val="1"/>
      <w:marLeft w:val="0"/>
      <w:marRight w:val="0"/>
      <w:marTop w:val="0"/>
      <w:marBottom w:val="0"/>
      <w:divBdr>
        <w:top w:val="none" w:sz="0" w:space="0" w:color="auto"/>
        <w:left w:val="none" w:sz="0" w:space="0" w:color="auto"/>
        <w:bottom w:val="none" w:sz="0" w:space="0" w:color="auto"/>
        <w:right w:val="none" w:sz="0" w:space="0" w:color="auto"/>
      </w:divBdr>
    </w:div>
    <w:div w:id="378287984">
      <w:bodyDiv w:val="1"/>
      <w:marLeft w:val="0"/>
      <w:marRight w:val="0"/>
      <w:marTop w:val="0"/>
      <w:marBottom w:val="0"/>
      <w:divBdr>
        <w:top w:val="none" w:sz="0" w:space="0" w:color="auto"/>
        <w:left w:val="none" w:sz="0" w:space="0" w:color="auto"/>
        <w:bottom w:val="none" w:sz="0" w:space="0" w:color="auto"/>
        <w:right w:val="none" w:sz="0" w:space="0" w:color="auto"/>
      </w:divBdr>
      <w:divsChild>
        <w:div w:id="90204086">
          <w:marLeft w:val="0"/>
          <w:marRight w:val="0"/>
          <w:marTop w:val="0"/>
          <w:marBottom w:val="0"/>
          <w:divBdr>
            <w:top w:val="none" w:sz="0" w:space="0" w:color="auto"/>
            <w:left w:val="none" w:sz="0" w:space="0" w:color="auto"/>
            <w:bottom w:val="none" w:sz="0" w:space="0" w:color="auto"/>
            <w:right w:val="none" w:sz="0" w:space="0" w:color="auto"/>
          </w:divBdr>
        </w:div>
        <w:div w:id="585459223">
          <w:marLeft w:val="0"/>
          <w:marRight w:val="0"/>
          <w:marTop w:val="0"/>
          <w:marBottom w:val="0"/>
          <w:divBdr>
            <w:top w:val="none" w:sz="0" w:space="0" w:color="auto"/>
            <w:left w:val="none" w:sz="0" w:space="0" w:color="auto"/>
            <w:bottom w:val="none" w:sz="0" w:space="0" w:color="auto"/>
            <w:right w:val="none" w:sz="0" w:space="0" w:color="auto"/>
          </w:divBdr>
        </w:div>
        <w:div w:id="898324132">
          <w:marLeft w:val="0"/>
          <w:marRight w:val="0"/>
          <w:marTop w:val="0"/>
          <w:marBottom w:val="0"/>
          <w:divBdr>
            <w:top w:val="none" w:sz="0" w:space="0" w:color="auto"/>
            <w:left w:val="none" w:sz="0" w:space="0" w:color="auto"/>
            <w:bottom w:val="none" w:sz="0" w:space="0" w:color="auto"/>
            <w:right w:val="none" w:sz="0" w:space="0" w:color="auto"/>
          </w:divBdr>
        </w:div>
        <w:div w:id="965548840">
          <w:marLeft w:val="0"/>
          <w:marRight w:val="0"/>
          <w:marTop w:val="0"/>
          <w:marBottom w:val="0"/>
          <w:divBdr>
            <w:top w:val="none" w:sz="0" w:space="0" w:color="auto"/>
            <w:left w:val="none" w:sz="0" w:space="0" w:color="auto"/>
            <w:bottom w:val="none" w:sz="0" w:space="0" w:color="auto"/>
            <w:right w:val="none" w:sz="0" w:space="0" w:color="auto"/>
          </w:divBdr>
        </w:div>
        <w:div w:id="1254321614">
          <w:marLeft w:val="0"/>
          <w:marRight w:val="0"/>
          <w:marTop w:val="0"/>
          <w:marBottom w:val="0"/>
          <w:divBdr>
            <w:top w:val="none" w:sz="0" w:space="0" w:color="auto"/>
            <w:left w:val="none" w:sz="0" w:space="0" w:color="auto"/>
            <w:bottom w:val="none" w:sz="0" w:space="0" w:color="auto"/>
            <w:right w:val="none" w:sz="0" w:space="0" w:color="auto"/>
          </w:divBdr>
        </w:div>
        <w:div w:id="1555001283">
          <w:marLeft w:val="0"/>
          <w:marRight w:val="0"/>
          <w:marTop w:val="0"/>
          <w:marBottom w:val="0"/>
          <w:divBdr>
            <w:top w:val="none" w:sz="0" w:space="0" w:color="auto"/>
            <w:left w:val="none" w:sz="0" w:space="0" w:color="auto"/>
            <w:bottom w:val="none" w:sz="0" w:space="0" w:color="auto"/>
            <w:right w:val="none" w:sz="0" w:space="0" w:color="auto"/>
          </w:divBdr>
        </w:div>
        <w:div w:id="1652253981">
          <w:marLeft w:val="0"/>
          <w:marRight w:val="0"/>
          <w:marTop w:val="0"/>
          <w:marBottom w:val="0"/>
          <w:divBdr>
            <w:top w:val="none" w:sz="0" w:space="0" w:color="auto"/>
            <w:left w:val="none" w:sz="0" w:space="0" w:color="auto"/>
            <w:bottom w:val="none" w:sz="0" w:space="0" w:color="auto"/>
            <w:right w:val="none" w:sz="0" w:space="0" w:color="auto"/>
          </w:divBdr>
        </w:div>
        <w:div w:id="1687826678">
          <w:marLeft w:val="0"/>
          <w:marRight w:val="0"/>
          <w:marTop w:val="0"/>
          <w:marBottom w:val="0"/>
          <w:divBdr>
            <w:top w:val="none" w:sz="0" w:space="0" w:color="auto"/>
            <w:left w:val="none" w:sz="0" w:space="0" w:color="auto"/>
            <w:bottom w:val="none" w:sz="0" w:space="0" w:color="auto"/>
            <w:right w:val="none" w:sz="0" w:space="0" w:color="auto"/>
          </w:divBdr>
        </w:div>
        <w:div w:id="2106145201">
          <w:marLeft w:val="0"/>
          <w:marRight w:val="0"/>
          <w:marTop w:val="0"/>
          <w:marBottom w:val="0"/>
          <w:divBdr>
            <w:top w:val="none" w:sz="0" w:space="0" w:color="auto"/>
            <w:left w:val="none" w:sz="0" w:space="0" w:color="auto"/>
            <w:bottom w:val="none" w:sz="0" w:space="0" w:color="auto"/>
            <w:right w:val="none" w:sz="0" w:space="0" w:color="auto"/>
          </w:divBdr>
        </w:div>
      </w:divsChild>
    </w:div>
    <w:div w:id="475536397">
      <w:bodyDiv w:val="1"/>
      <w:marLeft w:val="0"/>
      <w:marRight w:val="0"/>
      <w:marTop w:val="0"/>
      <w:marBottom w:val="0"/>
      <w:divBdr>
        <w:top w:val="none" w:sz="0" w:space="0" w:color="auto"/>
        <w:left w:val="none" w:sz="0" w:space="0" w:color="auto"/>
        <w:bottom w:val="none" w:sz="0" w:space="0" w:color="auto"/>
        <w:right w:val="none" w:sz="0" w:space="0" w:color="auto"/>
      </w:divBdr>
    </w:div>
    <w:div w:id="534581654">
      <w:bodyDiv w:val="1"/>
      <w:marLeft w:val="0"/>
      <w:marRight w:val="0"/>
      <w:marTop w:val="0"/>
      <w:marBottom w:val="0"/>
      <w:divBdr>
        <w:top w:val="none" w:sz="0" w:space="0" w:color="auto"/>
        <w:left w:val="none" w:sz="0" w:space="0" w:color="auto"/>
        <w:bottom w:val="none" w:sz="0" w:space="0" w:color="auto"/>
        <w:right w:val="none" w:sz="0" w:space="0" w:color="auto"/>
      </w:divBdr>
    </w:div>
    <w:div w:id="948388391">
      <w:bodyDiv w:val="1"/>
      <w:marLeft w:val="0"/>
      <w:marRight w:val="0"/>
      <w:marTop w:val="0"/>
      <w:marBottom w:val="0"/>
      <w:divBdr>
        <w:top w:val="none" w:sz="0" w:space="0" w:color="auto"/>
        <w:left w:val="none" w:sz="0" w:space="0" w:color="auto"/>
        <w:bottom w:val="none" w:sz="0" w:space="0" w:color="auto"/>
        <w:right w:val="none" w:sz="0" w:space="0" w:color="auto"/>
      </w:divBdr>
    </w:div>
    <w:div w:id="1009603939">
      <w:bodyDiv w:val="1"/>
      <w:marLeft w:val="0"/>
      <w:marRight w:val="0"/>
      <w:marTop w:val="0"/>
      <w:marBottom w:val="0"/>
      <w:divBdr>
        <w:top w:val="none" w:sz="0" w:space="0" w:color="auto"/>
        <w:left w:val="none" w:sz="0" w:space="0" w:color="auto"/>
        <w:bottom w:val="none" w:sz="0" w:space="0" w:color="auto"/>
        <w:right w:val="none" w:sz="0" w:space="0" w:color="auto"/>
      </w:divBdr>
    </w:div>
    <w:div w:id="1286079676">
      <w:bodyDiv w:val="1"/>
      <w:marLeft w:val="0"/>
      <w:marRight w:val="0"/>
      <w:marTop w:val="0"/>
      <w:marBottom w:val="0"/>
      <w:divBdr>
        <w:top w:val="none" w:sz="0" w:space="0" w:color="auto"/>
        <w:left w:val="none" w:sz="0" w:space="0" w:color="auto"/>
        <w:bottom w:val="none" w:sz="0" w:space="0" w:color="auto"/>
        <w:right w:val="none" w:sz="0" w:space="0" w:color="auto"/>
      </w:divBdr>
    </w:div>
    <w:div w:id="1552303135">
      <w:bodyDiv w:val="1"/>
      <w:marLeft w:val="0"/>
      <w:marRight w:val="0"/>
      <w:marTop w:val="0"/>
      <w:marBottom w:val="0"/>
      <w:divBdr>
        <w:top w:val="none" w:sz="0" w:space="0" w:color="auto"/>
        <w:left w:val="none" w:sz="0" w:space="0" w:color="auto"/>
        <w:bottom w:val="none" w:sz="0" w:space="0" w:color="auto"/>
        <w:right w:val="none" w:sz="0" w:space="0" w:color="auto"/>
      </w:divBdr>
    </w:div>
    <w:div w:id="1575354974">
      <w:bodyDiv w:val="1"/>
      <w:marLeft w:val="0"/>
      <w:marRight w:val="0"/>
      <w:marTop w:val="0"/>
      <w:marBottom w:val="0"/>
      <w:divBdr>
        <w:top w:val="none" w:sz="0" w:space="0" w:color="auto"/>
        <w:left w:val="none" w:sz="0" w:space="0" w:color="auto"/>
        <w:bottom w:val="none" w:sz="0" w:space="0" w:color="auto"/>
        <w:right w:val="none" w:sz="0" w:space="0" w:color="auto"/>
      </w:divBdr>
    </w:div>
    <w:div w:id="1609779000">
      <w:bodyDiv w:val="1"/>
      <w:marLeft w:val="0"/>
      <w:marRight w:val="0"/>
      <w:marTop w:val="0"/>
      <w:marBottom w:val="0"/>
      <w:divBdr>
        <w:top w:val="none" w:sz="0" w:space="0" w:color="auto"/>
        <w:left w:val="none" w:sz="0" w:space="0" w:color="auto"/>
        <w:bottom w:val="none" w:sz="0" w:space="0" w:color="auto"/>
        <w:right w:val="none" w:sz="0" w:space="0" w:color="auto"/>
      </w:divBdr>
    </w:div>
    <w:div w:id="1721899842">
      <w:bodyDiv w:val="1"/>
      <w:marLeft w:val="0"/>
      <w:marRight w:val="0"/>
      <w:marTop w:val="0"/>
      <w:marBottom w:val="0"/>
      <w:divBdr>
        <w:top w:val="none" w:sz="0" w:space="0" w:color="auto"/>
        <w:left w:val="none" w:sz="0" w:space="0" w:color="auto"/>
        <w:bottom w:val="none" w:sz="0" w:space="0" w:color="auto"/>
        <w:right w:val="none" w:sz="0" w:space="0" w:color="auto"/>
      </w:divBdr>
    </w:div>
    <w:div w:id="1835534095">
      <w:bodyDiv w:val="1"/>
      <w:marLeft w:val="0"/>
      <w:marRight w:val="0"/>
      <w:marTop w:val="0"/>
      <w:marBottom w:val="0"/>
      <w:divBdr>
        <w:top w:val="none" w:sz="0" w:space="0" w:color="auto"/>
        <w:left w:val="none" w:sz="0" w:space="0" w:color="auto"/>
        <w:bottom w:val="none" w:sz="0" w:space="0" w:color="auto"/>
        <w:right w:val="none" w:sz="0" w:space="0" w:color="auto"/>
      </w:divBdr>
    </w:div>
    <w:div w:id="2056000185">
      <w:bodyDiv w:val="1"/>
      <w:marLeft w:val="0"/>
      <w:marRight w:val="0"/>
      <w:marTop w:val="0"/>
      <w:marBottom w:val="0"/>
      <w:divBdr>
        <w:top w:val="none" w:sz="0" w:space="0" w:color="auto"/>
        <w:left w:val="none" w:sz="0" w:space="0" w:color="auto"/>
        <w:bottom w:val="none" w:sz="0" w:space="0" w:color="auto"/>
        <w:right w:val="none" w:sz="0" w:space="0" w:color="auto"/>
      </w:divBdr>
      <w:divsChild>
        <w:div w:id="400372789">
          <w:marLeft w:val="0"/>
          <w:marRight w:val="0"/>
          <w:marTop w:val="0"/>
          <w:marBottom w:val="0"/>
          <w:divBdr>
            <w:top w:val="none" w:sz="0" w:space="0" w:color="auto"/>
            <w:left w:val="none" w:sz="0" w:space="0" w:color="auto"/>
            <w:bottom w:val="none" w:sz="0" w:space="0" w:color="auto"/>
            <w:right w:val="none" w:sz="0" w:space="0" w:color="auto"/>
          </w:divBdr>
        </w:div>
        <w:div w:id="538392329">
          <w:marLeft w:val="0"/>
          <w:marRight w:val="0"/>
          <w:marTop w:val="0"/>
          <w:marBottom w:val="0"/>
          <w:divBdr>
            <w:top w:val="none" w:sz="0" w:space="0" w:color="auto"/>
            <w:left w:val="none" w:sz="0" w:space="0" w:color="auto"/>
            <w:bottom w:val="none" w:sz="0" w:space="0" w:color="auto"/>
            <w:right w:val="none" w:sz="0" w:space="0" w:color="auto"/>
          </w:divBdr>
        </w:div>
        <w:div w:id="665865052">
          <w:marLeft w:val="0"/>
          <w:marRight w:val="0"/>
          <w:marTop w:val="0"/>
          <w:marBottom w:val="0"/>
          <w:divBdr>
            <w:top w:val="none" w:sz="0" w:space="0" w:color="auto"/>
            <w:left w:val="none" w:sz="0" w:space="0" w:color="auto"/>
            <w:bottom w:val="none" w:sz="0" w:space="0" w:color="auto"/>
            <w:right w:val="none" w:sz="0" w:space="0" w:color="auto"/>
          </w:divBdr>
        </w:div>
        <w:div w:id="753743511">
          <w:marLeft w:val="0"/>
          <w:marRight w:val="0"/>
          <w:marTop w:val="0"/>
          <w:marBottom w:val="0"/>
          <w:divBdr>
            <w:top w:val="none" w:sz="0" w:space="0" w:color="auto"/>
            <w:left w:val="none" w:sz="0" w:space="0" w:color="auto"/>
            <w:bottom w:val="none" w:sz="0" w:space="0" w:color="auto"/>
            <w:right w:val="none" w:sz="0" w:space="0" w:color="auto"/>
          </w:divBdr>
        </w:div>
        <w:div w:id="1196963593">
          <w:marLeft w:val="0"/>
          <w:marRight w:val="0"/>
          <w:marTop w:val="0"/>
          <w:marBottom w:val="0"/>
          <w:divBdr>
            <w:top w:val="none" w:sz="0" w:space="0" w:color="auto"/>
            <w:left w:val="none" w:sz="0" w:space="0" w:color="auto"/>
            <w:bottom w:val="none" w:sz="0" w:space="0" w:color="auto"/>
            <w:right w:val="none" w:sz="0" w:space="0" w:color="auto"/>
          </w:divBdr>
        </w:div>
        <w:div w:id="1327898789">
          <w:marLeft w:val="0"/>
          <w:marRight w:val="0"/>
          <w:marTop w:val="0"/>
          <w:marBottom w:val="0"/>
          <w:divBdr>
            <w:top w:val="none" w:sz="0" w:space="0" w:color="auto"/>
            <w:left w:val="none" w:sz="0" w:space="0" w:color="auto"/>
            <w:bottom w:val="none" w:sz="0" w:space="0" w:color="auto"/>
            <w:right w:val="none" w:sz="0" w:space="0" w:color="auto"/>
          </w:divBdr>
        </w:div>
        <w:div w:id="1436171596">
          <w:marLeft w:val="0"/>
          <w:marRight w:val="0"/>
          <w:marTop w:val="0"/>
          <w:marBottom w:val="0"/>
          <w:divBdr>
            <w:top w:val="none" w:sz="0" w:space="0" w:color="auto"/>
            <w:left w:val="none" w:sz="0" w:space="0" w:color="auto"/>
            <w:bottom w:val="none" w:sz="0" w:space="0" w:color="auto"/>
            <w:right w:val="none" w:sz="0" w:space="0" w:color="auto"/>
          </w:divBdr>
        </w:div>
        <w:div w:id="1659530803">
          <w:marLeft w:val="0"/>
          <w:marRight w:val="0"/>
          <w:marTop w:val="0"/>
          <w:marBottom w:val="0"/>
          <w:divBdr>
            <w:top w:val="none" w:sz="0" w:space="0" w:color="auto"/>
            <w:left w:val="none" w:sz="0" w:space="0" w:color="auto"/>
            <w:bottom w:val="none" w:sz="0" w:space="0" w:color="auto"/>
            <w:right w:val="none" w:sz="0" w:space="0" w:color="auto"/>
          </w:divBdr>
        </w:div>
        <w:div w:id="1739589212">
          <w:marLeft w:val="0"/>
          <w:marRight w:val="0"/>
          <w:marTop w:val="0"/>
          <w:marBottom w:val="0"/>
          <w:divBdr>
            <w:top w:val="none" w:sz="0" w:space="0" w:color="auto"/>
            <w:left w:val="none" w:sz="0" w:space="0" w:color="auto"/>
            <w:bottom w:val="none" w:sz="0" w:space="0" w:color="auto"/>
            <w:right w:val="none" w:sz="0" w:space="0" w:color="auto"/>
          </w:divBdr>
        </w:div>
        <w:div w:id="1911839699">
          <w:marLeft w:val="0"/>
          <w:marRight w:val="0"/>
          <w:marTop w:val="0"/>
          <w:marBottom w:val="0"/>
          <w:divBdr>
            <w:top w:val="none" w:sz="0" w:space="0" w:color="auto"/>
            <w:left w:val="none" w:sz="0" w:space="0" w:color="auto"/>
            <w:bottom w:val="none" w:sz="0" w:space="0" w:color="auto"/>
            <w:right w:val="none" w:sz="0" w:space="0" w:color="auto"/>
          </w:divBdr>
        </w:div>
        <w:div w:id="1951012279">
          <w:marLeft w:val="0"/>
          <w:marRight w:val="0"/>
          <w:marTop w:val="0"/>
          <w:marBottom w:val="0"/>
          <w:divBdr>
            <w:top w:val="none" w:sz="0" w:space="0" w:color="auto"/>
            <w:left w:val="none" w:sz="0" w:space="0" w:color="auto"/>
            <w:bottom w:val="none" w:sz="0" w:space="0" w:color="auto"/>
            <w:right w:val="none" w:sz="0" w:space="0" w:color="auto"/>
          </w:divBdr>
        </w:div>
      </w:divsChild>
    </w:div>
    <w:div w:id="210753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8a4902c-2882-4acc-b4a7-9d4c52abc07b" xsi:nil="true"/>
    <lcf76f155ced4ddcb4097134ff3c332f xmlns="2d19fd3c-043f-4f27-a58b-951a50da236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83EDFC-09D0-48C1-9E7A-707AD35D42B7}">
  <ds:schemaRefs>
    <ds:schemaRef ds:uri="http://schemas.microsoft.com/sharepoint/v3/contenttype/forms"/>
  </ds:schemaRefs>
</ds:datastoreItem>
</file>

<file path=customXml/itemProps2.xml><?xml version="1.0" encoding="utf-8"?>
<ds:datastoreItem xmlns:ds="http://schemas.openxmlformats.org/officeDocument/2006/customXml" ds:itemID="{61C2516C-30EB-402B-84F3-AB0E14BDD76F}">
  <ds:schemaRefs>
    <ds:schemaRef ds:uri="http://schemas.microsoft.com/office/2006/metadata/properties"/>
    <ds:schemaRef ds:uri="http://schemas.microsoft.com/office/infopath/2007/PartnerControls"/>
    <ds:schemaRef ds:uri="f8a4902c-2882-4acc-b4a7-9d4c52abc07b"/>
    <ds:schemaRef ds:uri="2d19fd3c-043f-4f27-a58b-951a50da236f"/>
  </ds:schemaRefs>
</ds:datastoreItem>
</file>

<file path=customXml/itemProps3.xml><?xml version="1.0" encoding="utf-8"?>
<ds:datastoreItem xmlns:ds="http://schemas.openxmlformats.org/officeDocument/2006/customXml" ds:itemID="{DE922410-ADBE-42C4-B5E9-B88F1E9B59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19fd3c-043f-4f27-a58b-951a50da236f"/>
    <ds:schemaRef ds:uri="f8a4902c-2882-4acc-b4a7-9d4c52abc07b"/>
    <ds:schemaRef ds:uri="4ece19ec-74f6-4083-bed4-63224d424f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4314</TotalTime>
  <Pages>12</Pages>
  <Words>4190</Words>
  <Characters>23886</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Shefali Thakkar (CC-COMPL)</dc:creator>
  <cp:keywords/>
  <dc:description/>
  <cp:lastModifiedBy>Jerin John M</cp:lastModifiedBy>
  <cp:revision>40</cp:revision>
  <cp:lastPrinted>2023-09-28T22:02:00Z</cp:lastPrinted>
  <dcterms:created xsi:type="dcterms:W3CDTF">2024-04-02T04:58:00Z</dcterms:created>
  <dcterms:modified xsi:type="dcterms:W3CDTF">2025-10-10T06:34:00Z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6294cb8,7ab0e381,55754aa5</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ContentTypeId">
    <vt:lpwstr>0x0101002F63F0F28E880C41A37387306EA3D082</vt:lpwstr>
  </property>
  <property fmtid="{D5CDD505-2E9C-101B-9397-08002B2CF9AE}" pid="6" name="MediaServiceImageTags">
    <vt:lpwstr/>
  </property>
  <property fmtid="{D5CDD505-2E9C-101B-9397-08002B2CF9AE}" pid="7" name="MSIP_Label_305f50f5-e953-4c63-867b-388561f41989_Enabled">
    <vt:lpwstr>true</vt:lpwstr>
  </property>
  <property fmtid="{D5CDD505-2E9C-101B-9397-08002B2CF9AE}" pid="8" name="MSIP_Label_305f50f5-e953-4c63-867b-388561f41989_SetDate">
    <vt:lpwstr>2023-10-05T05:38:21Z</vt:lpwstr>
  </property>
  <property fmtid="{D5CDD505-2E9C-101B-9397-08002B2CF9AE}" pid="9" name="MSIP_Label_305f50f5-e953-4c63-867b-388561f41989_Method">
    <vt:lpwstr>Privileged</vt:lpwstr>
  </property>
  <property fmtid="{D5CDD505-2E9C-101B-9397-08002B2CF9AE}" pid="10" name="MSIP_Label_305f50f5-e953-4c63-867b-388561f41989_Name">
    <vt:lpwstr>305f50f5-e953-4c63-867b-388561f41989</vt:lpwstr>
  </property>
  <property fmtid="{D5CDD505-2E9C-101B-9397-08002B2CF9AE}" pid="11" name="MSIP_Label_305f50f5-e953-4c63-867b-388561f41989_SiteId">
    <vt:lpwstr>fb8ed654-3195-4846-ac37-491dc8a2349e</vt:lpwstr>
  </property>
  <property fmtid="{D5CDD505-2E9C-101B-9397-08002B2CF9AE}" pid="12" name="MSIP_Label_305f50f5-e953-4c63-867b-388561f41989_ActionId">
    <vt:lpwstr>858b49a6-d290-4b46-8396-bae61a18e018</vt:lpwstr>
  </property>
  <property fmtid="{D5CDD505-2E9C-101B-9397-08002B2CF9AE}" pid="13" name="MSIP_Label_305f50f5-e953-4c63-867b-388561f41989_ContentBits">
    <vt:lpwstr>2</vt:lpwstr>
  </property>
</Properties>
</file>